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Лекция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 Физиология сенсорных систем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Целостный организм неразрывно связан с окружающей его внешней средой, и поэтому, как писал И.М. Сеченов, в научное определение организма должна входить и среда, влияющая на него.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живые организмы нуждаются в информации об окружающей среде, как для поисков пищи, так и при избегании разного рода опасностей. Кроме того, они должны ориентироваться в пространстве и оценивать его важнейшие свойства. Эту возможность обеспечивают </w:t>
      </w:r>
      <w:r>
        <w:rPr>
          <w:rFonts w:ascii="Times New Roman" w:hAnsi="Times New Roman" w:cs="Times New Roman"/>
          <w:b/>
          <w:sz w:val="28"/>
          <w:szCs w:val="28"/>
        </w:rPr>
        <w:t>сенсорные системы</w: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  <w:r>
        <w:rPr>
          <w:rFonts w:ascii="Times New Roman" w:hAnsi="Times New Roman" w:cs="Times New Roman"/>
          <w:b/>
          <w:sz w:val="28"/>
          <w:szCs w:val="28"/>
        </w:rPr>
        <w:t>анализаторы</w: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  <w:r>
        <w:rPr>
          <w:rFonts w:ascii="Times New Roman" w:hAnsi="Times New Roman" w:cs="Times New Roman"/>
          <w:b/>
          <w:sz w:val="28"/>
          <w:szCs w:val="28"/>
        </w:rPr>
        <w:t>органы чувств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Сенсорные </w:t>
      </w:r>
      <w:r>
        <w:rPr>
          <w:rFonts w:ascii="Times New Roman" w:hAnsi="Times New Roman" w:cs="Times New Roman"/>
          <w:sz w:val="28"/>
          <w:szCs w:val="28"/>
        </w:rPr>
        <w:t xml:space="preserve">(лат. </w:t>
      </w:r>
      <w:r>
        <w:rPr>
          <w:rFonts w:ascii="Times New Roman" w:hAnsi="Times New Roman" w:cs="Times New Roman"/>
          <w:sz w:val="28"/>
          <w:szCs w:val="28"/>
          <w:lang w:val="en-US"/>
        </w:rPr>
        <w:t>sensus</w:t>
      </w:r>
      <w:r>
        <w:rPr>
          <w:rFonts w:ascii="Times New Roman" w:hAnsi="Times New Roman" w:cs="Times New Roman"/>
          <w:sz w:val="28"/>
          <w:szCs w:val="28"/>
        </w:rPr>
        <w:t xml:space="preserve"> – восприятие, чувство, ощущение) </w:t>
      </w:r>
      <w:r>
        <w:rPr>
          <w:rFonts w:ascii="Times New Roman" w:hAnsi="Times New Roman" w:cs="Times New Roman"/>
          <w:b/>
          <w:sz w:val="28"/>
          <w:szCs w:val="28"/>
        </w:rPr>
        <w:t xml:space="preserve">системы – </w:t>
      </w:r>
      <w:r>
        <w:rPr>
          <w:rFonts w:ascii="Times New Roman" w:hAnsi="Times New Roman" w:cs="Times New Roman"/>
          <w:sz w:val="28"/>
          <w:szCs w:val="28"/>
        </w:rPr>
        <w:t xml:space="preserve">совокупность периферических и центральных нервных образований, воспринимающих и анализирующих информацию о действии на организм различных раздражителей.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научной литературе используют синоним этого термина – </w:t>
      </w:r>
      <w:r>
        <w:rPr>
          <w:rFonts w:ascii="Times New Roman" w:hAnsi="Times New Roman" w:cs="Times New Roman"/>
          <w:b/>
          <w:sz w:val="28"/>
          <w:szCs w:val="28"/>
        </w:rPr>
        <w:t xml:space="preserve">анализаторы </w:t>
      </w:r>
      <w:r>
        <w:rPr>
          <w:rFonts w:ascii="Times New Roman" w:hAnsi="Times New Roman" w:cs="Times New Roman"/>
          <w:sz w:val="28"/>
          <w:szCs w:val="28"/>
        </w:rPr>
        <w:t xml:space="preserve">(гр. </w:t>
      </w:r>
      <w:r>
        <w:rPr>
          <w:rFonts w:ascii="Times New Roman" w:hAnsi="Times New Roman" w:cs="Times New Roman"/>
          <w:sz w:val="28"/>
          <w:szCs w:val="28"/>
          <w:lang w:val="en-US"/>
        </w:rPr>
        <w:t>Analysis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разложение), введенный в физиологию И.П. Павловым (1909).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Любая сенсорная система </w:t>
      </w:r>
      <w:r>
        <w:rPr>
          <w:rFonts w:ascii="Times New Roman" w:hAnsi="Times New Roman" w:cs="Times New Roman"/>
          <w:b/>
          <w:sz w:val="28"/>
          <w:szCs w:val="28"/>
        </w:rPr>
        <w:t>состоит из трех отделов</w:t>
      </w:r>
      <w:r>
        <w:rPr>
          <w:rFonts w:ascii="Times New Roman" w:hAnsi="Times New Roman" w:cs="Times New Roman"/>
          <w:sz w:val="28"/>
          <w:szCs w:val="28"/>
        </w:rPr>
        <w:t>:</w:t>
      </w:r>
    </w:p>
    <w:p>
      <w:pPr>
        <w:pStyle w:val="10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периферического – рецептора;</w:t>
      </w:r>
    </w:p>
    <w:p>
      <w:pPr>
        <w:pStyle w:val="10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проводникового – афферентного нервного волокна;</w:t>
      </w:r>
    </w:p>
    <w:p>
      <w:pPr>
        <w:pStyle w:val="10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центрального – участка коры больших полушарий.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части системы действуют как единое целое. Нарушение деятельности одной из частей вызывает нарушение функции всей сенсорной системы. Наиболее </w:t>
      </w:r>
      <w:r>
        <w:rPr>
          <w:rFonts w:ascii="Times New Roman" w:hAnsi="Times New Roman" w:cs="Times New Roman"/>
          <w:b/>
          <w:sz w:val="28"/>
          <w:szCs w:val="28"/>
        </w:rPr>
        <w:t>сложноорганизованными сенсорными системами являются</w:t>
      </w:r>
      <w:r>
        <w:rPr>
          <w:rFonts w:ascii="Times New Roman" w:hAnsi="Times New Roman" w:cs="Times New Roman"/>
          <w:sz w:val="28"/>
          <w:szCs w:val="28"/>
        </w:rPr>
        <w:t>: зрительная;  слуховая;  обонятельная; вкусовая;  проприоцептивная; гравитационная; кожная (соматическая).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center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Рецепторы и их классификация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Рецепторы (</w:t>
      </w:r>
      <w:r>
        <w:rPr>
          <w:rFonts w:ascii="Times New Roman" w:hAnsi="Times New Roman" w:cs="Times New Roman"/>
          <w:sz w:val="28"/>
          <w:szCs w:val="28"/>
        </w:rPr>
        <w:t xml:space="preserve">лат. </w:t>
      </w:r>
      <w:r>
        <w:rPr>
          <w:rFonts w:ascii="Times New Roman" w:hAnsi="Times New Roman" w:cs="Times New Roman"/>
          <w:sz w:val="28"/>
          <w:szCs w:val="28"/>
          <w:lang w:val="en-US"/>
        </w:rPr>
        <w:t>receptor</w:t>
      </w:r>
      <w:r>
        <w:rPr>
          <w:rFonts w:ascii="Times New Roman" w:hAnsi="Times New Roman" w:cs="Times New Roman"/>
          <w:sz w:val="28"/>
          <w:szCs w:val="28"/>
        </w:rPr>
        <w:t xml:space="preserve"> – принимающий</w:t>
      </w:r>
      <w:r>
        <w:rPr>
          <w:rFonts w:ascii="Times New Roman" w:hAnsi="Times New Roman" w:cs="Times New Roman"/>
          <w:b/>
          <w:sz w:val="28"/>
          <w:szCs w:val="28"/>
        </w:rPr>
        <w:t xml:space="preserve">) – </w:t>
      </w:r>
      <w:r>
        <w:rPr>
          <w:rFonts w:ascii="Times New Roman" w:hAnsi="Times New Roman" w:cs="Times New Roman"/>
          <w:sz w:val="28"/>
          <w:szCs w:val="28"/>
        </w:rPr>
        <w:t>это специализированные чувствительные образования, воспринимающие и преобразующие раздражения из внешней и внутренней среды в специфическую активность нервной системы.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Разнообразные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раздражители </w:t>
      </w:r>
      <w:r>
        <w:rPr>
          <w:rFonts w:ascii="Times New Roman" w:hAnsi="Times New Roman" w:cs="Times New Roman"/>
          <w:sz w:val="28"/>
          <w:szCs w:val="28"/>
        </w:rPr>
        <w:t xml:space="preserve">классифицируют прежде всего по </w:t>
      </w:r>
      <w:r>
        <w:rPr>
          <w:rFonts w:ascii="Times New Roman" w:hAnsi="Times New Roman" w:cs="Times New Roman"/>
          <w:b/>
          <w:sz w:val="28"/>
          <w:szCs w:val="28"/>
        </w:rPr>
        <w:t>модальности</w:t>
      </w:r>
      <w:r>
        <w:rPr>
          <w:rFonts w:ascii="Times New Roman" w:hAnsi="Times New Roman" w:cs="Times New Roman"/>
          <w:sz w:val="28"/>
          <w:szCs w:val="28"/>
        </w:rPr>
        <w:t xml:space="preserve">, т. е. </w:t>
      </w:r>
      <w:r>
        <w:rPr>
          <w:rFonts w:ascii="Times New Roman" w:hAnsi="Times New Roman" w:cs="Times New Roman"/>
          <w:b/>
          <w:sz w:val="28"/>
          <w:szCs w:val="28"/>
        </w:rPr>
        <w:t xml:space="preserve">виду воспринимаемого раздражения. </w:t>
      </w:r>
      <w:r>
        <w:rPr>
          <w:rFonts w:ascii="Times New Roman" w:hAnsi="Times New Roman" w:cs="Times New Roman"/>
          <w:sz w:val="28"/>
          <w:szCs w:val="28"/>
        </w:rPr>
        <w:t xml:space="preserve">Так, раздражители делят на </w:t>
      </w:r>
      <w:r>
        <w:rPr>
          <w:rFonts w:ascii="Times New Roman" w:hAnsi="Times New Roman" w:cs="Times New Roman"/>
          <w:i/>
          <w:iCs/>
          <w:sz w:val="28"/>
          <w:szCs w:val="28"/>
        </w:rPr>
        <w:t>механические, химические, тепловые, осмотические</w:t>
      </w:r>
      <w:r>
        <w:rPr>
          <w:rFonts w:ascii="Times New Roman" w:hAnsi="Times New Roman" w:cs="Times New Roman"/>
          <w:sz w:val="28"/>
          <w:szCs w:val="28"/>
        </w:rPr>
        <w:t xml:space="preserve"> и т.д., которые передаются с помощью различных форм энергии. Например, свет – фотонами, химические раздражители – молекулами и ионами, тепловые – с помощью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все раздражители независимо от модальности подразделяются на </w:t>
      </w:r>
      <w:r>
        <w:rPr>
          <w:rFonts w:ascii="Times New Roman" w:hAnsi="Times New Roman" w:cs="Times New Roman"/>
          <w:b/>
          <w:sz w:val="28"/>
          <w:szCs w:val="28"/>
        </w:rPr>
        <w:t xml:space="preserve">адекватные и неадекватные. Адекватные раздражители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соответствующие данному виду рецепторов (для зрительных – свет, тактильных – механические стимулы).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Рецепторам принадлежит важнейшая роль, в получении организмом информации о внешней и внутренней средах. Благодаря их большому разнообразию в организме, животные и человек способны воспринимать стимулы разных модальностей.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Рецепторные клетки </w:t>
      </w:r>
      <w:r>
        <w:rPr>
          <w:rFonts w:ascii="Times New Roman" w:hAnsi="Times New Roman" w:cs="Times New Roman"/>
          <w:b/>
          <w:sz w:val="28"/>
          <w:szCs w:val="28"/>
        </w:rPr>
        <w:t xml:space="preserve">отличаются </w:t>
      </w:r>
      <w:r>
        <w:rPr>
          <w:rFonts w:ascii="Times New Roman" w:hAnsi="Times New Roman" w:cs="Times New Roman"/>
          <w:sz w:val="28"/>
          <w:szCs w:val="28"/>
        </w:rPr>
        <w:t xml:space="preserve">от остальных, по крайней мере, </w:t>
      </w:r>
      <w:r>
        <w:rPr>
          <w:rFonts w:ascii="Times New Roman" w:hAnsi="Times New Roman" w:cs="Times New Roman"/>
          <w:b/>
          <w:sz w:val="28"/>
          <w:szCs w:val="28"/>
        </w:rPr>
        <w:t>в двух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отношениях. Во-первых, </w:t>
      </w:r>
      <w:r>
        <w:rPr>
          <w:rFonts w:ascii="Times New Roman" w:hAnsi="Times New Roman" w:cs="Times New Roman"/>
          <w:sz w:val="28"/>
          <w:szCs w:val="28"/>
        </w:rPr>
        <w:t xml:space="preserve">энергия раздражителя служит для них лишь стимулом к запуску процессов, совершаемых за счет потенциальной энергии, которая накоплена вследствие обменных реакций в самой клетке. </w:t>
      </w:r>
      <w:r>
        <w:rPr>
          <w:rFonts w:ascii="Times New Roman" w:hAnsi="Times New Roman" w:cs="Times New Roman"/>
          <w:b/>
          <w:sz w:val="28"/>
          <w:szCs w:val="28"/>
        </w:rPr>
        <w:t>Во-вторых</w:t>
      </w:r>
      <w:r>
        <w:rPr>
          <w:rFonts w:ascii="Times New Roman" w:hAnsi="Times New Roman" w:cs="Times New Roman"/>
          <w:sz w:val="28"/>
          <w:szCs w:val="28"/>
        </w:rPr>
        <w:t>, рецепторная клетка обладает на выходе электрической энергией, обязательно передаваемой другим клеткам, которые сами не способны воспринимать энергию данного внешнего воздействия.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</w:t>
      </w:r>
      <w:r>
        <w:rPr>
          <w:rFonts w:ascii="Times New Roman" w:hAnsi="Times New Roman" w:cs="Times New Roman"/>
          <w:b/>
          <w:sz w:val="28"/>
          <w:szCs w:val="28"/>
        </w:rPr>
        <w:t>структурной единицей</w:t>
      </w:r>
      <w:r>
        <w:rPr>
          <w:rFonts w:ascii="Times New Roman" w:hAnsi="Times New Roman" w:cs="Times New Roman"/>
          <w:sz w:val="28"/>
          <w:szCs w:val="28"/>
        </w:rPr>
        <w:t xml:space="preserve"> большинства рецепторных аппаратов является клетка, снабженная подвижными </w:t>
      </w:r>
      <w:r>
        <w:rPr>
          <w:rFonts w:ascii="Times New Roman" w:hAnsi="Times New Roman" w:cs="Times New Roman"/>
          <w:b/>
          <w:sz w:val="28"/>
          <w:szCs w:val="28"/>
        </w:rPr>
        <w:t>волосками, или ресничками</w:t>
      </w:r>
      <w:r>
        <w:rPr>
          <w:rFonts w:ascii="Times New Roman" w:hAnsi="Times New Roman" w:cs="Times New Roman"/>
          <w:sz w:val="28"/>
          <w:szCs w:val="28"/>
        </w:rPr>
        <w:t xml:space="preserve">. Эти волоски представляют собой как бы периферические подвижные антенны, действующие подобно усилителям по отношению к воспринимаемым раздражителям и участвующие в трансформации раздражителя в нервную сигнализацию. Благодаря их автоматическим движениям осуществляются </w:t>
      </w:r>
      <w:r>
        <w:rPr>
          <w:rFonts w:ascii="Times New Roman" w:hAnsi="Times New Roman" w:cs="Times New Roman"/>
          <w:b/>
          <w:sz w:val="28"/>
          <w:szCs w:val="28"/>
        </w:rPr>
        <w:t xml:space="preserve">непрерывные поиски адекватного стимула </w:t>
      </w:r>
      <w:r>
        <w:rPr>
          <w:rFonts w:ascii="Times New Roman" w:hAnsi="Times New Roman" w:cs="Times New Roman"/>
          <w:sz w:val="28"/>
          <w:szCs w:val="28"/>
        </w:rPr>
        <w:t>и обеспечиваются наилучшие условия для взаимодействия с ним. Следовательно, в одной и той же клетке представлены и собственно рецепторная, и моторная функции.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рецепторы имеют </w:t>
      </w:r>
      <w:r>
        <w:rPr>
          <w:rFonts w:ascii="Times New Roman" w:hAnsi="Times New Roman" w:cs="Times New Roman"/>
          <w:b/>
          <w:sz w:val="28"/>
          <w:szCs w:val="28"/>
        </w:rPr>
        <w:t>очень высокую возбудимость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Порог раздражения их, </w:t>
      </w:r>
      <w:r>
        <w:rPr>
          <w:rFonts w:ascii="Times New Roman" w:hAnsi="Times New Roman" w:cs="Times New Roman"/>
          <w:sz w:val="28"/>
          <w:szCs w:val="28"/>
        </w:rPr>
        <w:t xml:space="preserve">т.е. количество энергии, которое необходимо для возникновения возбуждения, </w:t>
      </w:r>
      <w:r>
        <w:rPr>
          <w:rFonts w:ascii="Times New Roman" w:hAnsi="Times New Roman" w:cs="Times New Roman"/>
          <w:b/>
          <w:sz w:val="28"/>
          <w:szCs w:val="28"/>
        </w:rPr>
        <w:t xml:space="preserve">чрезвычайно низок. </w:t>
      </w:r>
      <w:r>
        <w:rPr>
          <w:rFonts w:ascii="Times New Roman" w:hAnsi="Times New Roman" w:cs="Times New Roman"/>
          <w:sz w:val="28"/>
          <w:szCs w:val="28"/>
        </w:rPr>
        <w:t xml:space="preserve">Так, обонятельные рецепторы информируют организм о появлении в атмосфере единичных молекул пахучих веществ, волосковые рецепторы лабиринта способны обнаружить движение примерно такое же малое, как диаметр атома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характеру взаимодействия </w:t>
      </w:r>
      <w:r>
        <w:rPr>
          <w:rFonts w:ascii="Times New Roman" w:hAnsi="Times New Roman" w:cs="Times New Roman"/>
          <w:sz w:val="28"/>
          <w:szCs w:val="28"/>
        </w:rPr>
        <w:t xml:space="preserve">раздражителей всю совокупность рецепторов подразделяют на </w:t>
      </w:r>
      <w:r>
        <w:rPr>
          <w:rFonts w:ascii="Times New Roman" w:hAnsi="Times New Roman" w:cs="Times New Roman"/>
          <w:b/>
          <w:sz w:val="28"/>
          <w:szCs w:val="28"/>
        </w:rPr>
        <w:t>экстероцепторы, интероцепторы и проприоцепторы.</w:t>
      </w:r>
      <w:r>
        <w:rPr>
          <w:rFonts w:ascii="Times New Roman" w:hAnsi="Times New Roman" w:cs="Times New Roman"/>
          <w:sz w:val="28"/>
          <w:szCs w:val="28"/>
        </w:rPr>
        <w:t xml:space="preserve"> Экстероцепторы воспринимают раздражения внешних агентов, интероцепторы – сигнализируют о раздражителях внутренней среды, а проприоцепторы (лат </w:t>
      </w:r>
      <w:r>
        <w:rPr>
          <w:rFonts w:ascii="Times New Roman" w:hAnsi="Times New Roman" w:cs="Times New Roman"/>
          <w:sz w:val="28"/>
          <w:szCs w:val="28"/>
          <w:lang w:val="en-US"/>
        </w:rPr>
        <w:t>proprius</w:t>
      </w:r>
      <w:r>
        <w:rPr>
          <w:rFonts w:ascii="Times New Roman" w:hAnsi="Times New Roman" w:cs="Times New Roman"/>
          <w:sz w:val="28"/>
          <w:szCs w:val="28"/>
        </w:rPr>
        <w:t xml:space="preserve"> – собственный) – механорецепторы опорно-двигательного аппарата, т.е. рецепторы мышц, сухожилий и суставов.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</w:t>
      </w:r>
      <w:r>
        <w:rPr>
          <w:rFonts w:ascii="Times New Roman" w:hAnsi="Times New Roman" w:cs="Times New Roman"/>
          <w:b/>
          <w:sz w:val="28"/>
          <w:szCs w:val="28"/>
        </w:rPr>
        <w:t xml:space="preserve">интероцепторов </w:t>
      </w:r>
      <w:r>
        <w:rPr>
          <w:rFonts w:ascii="Times New Roman" w:hAnsi="Times New Roman" w:cs="Times New Roman"/>
          <w:sz w:val="28"/>
          <w:szCs w:val="28"/>
        </w:rPr>
        <w:t xml:space="preserve">выделяют </w:t>
      </w:r>
      <w:r>
        <w:rPr>
          <w:rFonts w:ascii="Times New Roman" w:hAnsi="Times New Roman" w:cs="Times New Roman"/>
          <w:b/>
          <w:sz w:val="28"/>
          <w:szCs w:val="28"/>
        </w:rPr>
        <w:t xml:space="preserve">мономодальные </w:t>
      </w:r>
      <w:r>
        <w:rPr>
          <w:rFonts w:ascii="Times New Roman" w:hAnsi="Times New Roman" w:cs="Times New Roman"/>
          <w:sz w:val="28"/>
          <w:szCs w:val="28"/>
        </w:rPr>
        <w:t xml:space="preserve">образования, например, хеморецепторы каротидной зоны, предназначенной для химического анализа крови, направляющейся к мозгу. Однако большинство интероцепторов являются </w:t>
      </w:r>
      <w:r>
        <w:rPr>
          <w:rFonts w:ascii="Times New Roman" w:hAnsi="Times New Roman" w:cs="Times New Roman"/>
          <w:b/>
          <w:sz w:val="28"/>
          <w:szCs w:val="28"/>
        </w:rPr>
        <w:t>полимодальными</w:t>
      </w:r>
      <w:r>
        <w:rPr>
          <w:rFonts w:ascii="Times New Roman" w:hAnsi="Times New Roman" w:cs="Times New Roman"/>
          <w:sz w:val="28"/>
          <w:szCs w:val="28"/>
        </w:rPr>
        <w:t>, т.е. реагирующих на несколько разных по модальности раздражителей.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Важнейшее свойство рецепторов – </w:t>
      </w:r>
      <w:r>
        <w:rPr>
          <w:rFonts w:ascii="Times New Roman" w:hAnsi="Times New Roman" w:cs="Times New Roman"/>
          <w:b/>
          <w:sz w:val="28"/>
          <w:szCs w:val="28"/>
        </w:rPr>
        <w:t>избирательная чувствительность</w:t>
      </w:r>
      <w:r>
        <w:rPr>
          <w:rFonts w:ascii="Times New Roman" w:hAnsi="Times New Roman" w:cs="Times New Roman"/>
          <w:sz w:val="28"/>
          <w:szCs w:val="28"/>
        </w:rPr>
        <w:t xml:space="preserve"> к адекватным раздражителям. Выраженность этого свойства обусловлена в значительной мере структурными особенностями рецепторных аппаратов. На основании этого все рецепторы могут быть </w:t>
      </w:r>
      <w:r>
        <w:rPr>
          <w:rFonts w:ascii="Times New Roman" w:hAnsi="Times New Roman" w:cs="Times New Roman"/>
          <w:b/>
          <w:sz w:val="28"/>
          <w:szCs w:val="28"/>
        </w:rPr>
        <w:t>разделены на две группы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>первичные (первичночувствующие)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sz w:val="28"/>
          <w:szCs w:val="28"/>
        </w:rPr>
        <w:t>вторичные (вторичночувствующие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b/>
          <w:sz w:val="28"/>
          <w:szCs w:val="28"/>
        </w:rPr>
        <w:t>первичным</w:t>
      </w:r>
      <w:r>
        <w:rPr>
          <w:rFonts w:ascii="Times New Roman" w:hAnsi="Times New Roman" w:cs="Times New Roman"/>
          <w:sz w:val="28"/>
          <w:szCs w:val="28"/>
        </w:rPr>
        <w:t xml:space="preserve"> относят такие рецепторные аппараты, у которых действие адекватного стимула осуществляется непосредственно периферическим отростком сенсорного нейрона, который первично встречается с раздражителем. Этот сенсорный нейрон находится на периферии, а не в ЦНС, и представляет собой </w:t>
      </w:r>
      <w:r>
        <w:rPr>
          <w:rFonts w:ascii="Times New Roman" w:hAnsi="Times New Roman" w:cs="Times New Roman"/>
          <w:b/>
          <w:sz w:val="28"/>
          <w:szCs w:val="28"/>
        </w:rPr>
        <w:t>биполярный нейрон.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вторичным рецепторам </w:t>
      </w:r>
      <w:r>
        <w:rPr>
          <w:rFonts w:ascii="Times New Roman" w:hAnsi="Times New Roman" w:cs="Times New Roman"/>
          <w:sz w:val="28"/>
          <w:szCs w:val="28"/>
        </w:rPr>
        <w:t xml:space="preserve">относят такие, у которых между окончаниями сенсорного нейрона и точкой приложения стимула располагается </w:t>
      </w:r>
      <w:r>
        <w:rPr>
          <w:rFonts w:ascii="Times New Roman" w:hAnsi="Times New Roman" w:cs="Times New Roman"/>
          <w:b/>
          <w:sz w:val="28"/>
          <w:szCs w:val="28"/>
        </w:rPr>
        <w:t>дополнительная специализированная рецептирующая</w:t>
      </w:r>
      <w:r>
        <w:rPr>
          <w:rFonts w:ascii="Times New Roman" w:hAnsi="Times New Roman" w:cs="Times New Roman"/>
          <w:sz w:val="28"/>
          <w:szCs w:val="28"/>
        </w:rPr>
        <w:t xml:space="preserve"> клетка не нервного происхождения. Возбуждение, возникающее в рецептирующей клетке, передается через синапс на сенсорный нейрон. Следовательно, сенсорный нейрон возбуждается уже не первично внешним стимулом, а опосредованно (вторично).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Первичночувствующие рецепторы </w:t>
      </w:r>
      <w:r>
        <w:rPr>
          <w:rFonts w:ascii="Times New Roman" w:hAnsi="Times New Roman" w:cs="Times New Roman"/>
          <w:sz w:val="28"/>
          <w:szCs w:val="28"/>
        </w:rPr>
        <w:t>являются основным универсальным типом, с которым связаны все виды рецепции у беспозвоночных. У позвоночных животных первичные рецепторы представлены тканевыми, проприоцепторами, термоцепторами и обонятельными клетками. Все остальные рецепторы позвоночных являются вторичночувствующими.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рецепторы обладают рядом общих свойств:</w:t>
      </w:r>
    </w:p>
    <w:p>
      <w:pPr>
        <w:pStyle w:val="10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виды имеют </w:t>
      </w:r>
      <w:r>
        <w:rPr>
          <w:rFonts w:ascii="Times New Roman" w:hAnsi="Times New Roman" w:cs="Times New Roman"/>
          <w:b/>
          <w:sz w:val="28"/>
          <w:szCs w:val="28"/>
        </w:rPr>
        <w:t>очень высокую возбудимость</w:t>
      </w:r>
      <w:r>
        <w:rPr>
          <w:rFonts w:ascii="Times New Roman" w:hAnsi="Times New Roman" w:cs="Times New Roman"/>
          <w:sz w:val="28"/>
          <w:szCs w:val="28"/>
        </w:rPr>
        <w:t>. Порог раздражения рецепторов, т.е. количество энергии, которое необходимо для возникновения возбуждения, чрезвычайно низок.</w:t>
      </w:r>
    </w:p>
    <w:p>
      <w:pPr>
        <w:pStyle w:val="10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увеличением силы раздражения возрастает интенсивность ощущения (закон Вебера – Фехнера).</w:t>
      </w:r>
    </w:p>
    <w:p>
      <w:pPr>
        <w:pStyle w:val="10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Почти все рецепторы обладают свойством </w:t>
      </w:r>
      <w:r>
        <w:rPr>
          <w:rFonts w:ascii="Times New Roman" w:hAnsi="Times New Roman" w:cs="Times New Roman"/>
          <w:b/>
          <w:sz w:val="28"/>
          <w:szCs w:val="28"/>
        </w:rPr>
        <w:t>адаптации</w:t>
      </w:r>
      <w:r>
        <w:rPr>
          <w:rFonts w:ascii="Times New Roman" w:hAnsi="Times New Roman" w:cs="Times New Roman"/>
          <w:sz w:val="28"/>
          <w:szCs w:val="28"/>
        </w:rPr>
        <w:t xml:space="preserve"> к силе действующего раздражителя. Например, яркого света, который вначале нас ослепляет. Точно также мы не замечаем непрерывного давления на кожу привычной одежды.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Свойства адаптации нет у вестибулоцепторов и проприоцепторов.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зависимости от способности изменять свою активность в ходе действия длительного раздражения все рецепторы могут быть разделены на </w:t>
      </w:r>
      <w:r>
        <w:rPr>
          <w:rFonts w:ascii="Times New Roman" w:hAnsi="Times New Roman" w:cs="Times New Roman"/>
          <w:b/>
          <w:sz w:val="28"/>
          <w:szCs w:val="28"/>
        </w:rPr>
        <w:t>3 группы</w:t>
      </w:r>
      <w:r>
        <w:rPr>
          <w:rFonts w:ascii="Times New Roman" w:hAnsi="Times New Roman" w:cs="Times New Roman"/>
          <w:sz w:val="28"/>
          <w:szCs w:val="28"/>
        </w:rPr>
        <w:t>: быстро адаптирующиеся</w:t>
      </w:r>
      <w:r>
        <w:rPr>
          <w:rFonts w:ascii="Times New Roman" w:hAnsi="Times New Roman" w:cs="Times New Roman"/>
          <w:b/>
          <w:sz w:val="28"/>
          <w:szCs w:val="28"/>
        </w:rPr>
        <w:t xml:space="preserve">, или фазные </w:t>
      </w:r>
      <w:r>
        <w:rPr>
          <w:rFonts w:ascii="Times New Roman" w:hAnsi="Times New Roman" w:cs="Times New Roman"/>
          <w:sz w:val="28"/>
          <w:szCs w:val="28"/>
        </w:rPr>
        <w:t>(тактильные); медленно адаптирующиеся</w:t>
      </w:r>
      <w:r>
        <w:rPr>
          <w:rFonts w:ascii="Times New Roman" w:hAnsi="Times New Roman" w:cs="Times New Roman"/>
          <w:b/>
          <w:sz w:val="28"/>
          <w:szCs w:val="28"/>
        </w:rPr>
        <w:t>, или тонические</w:t>
      </w:r>
      <w:r>
        <w:rPr>
          <w:rFonts w:ascii="Times New Roman" w:hAnsi="Times New Roman" w:cs="Times New Roman"/>
          <w:sz w:val="28"/>
          <w:szCs w:val="28"/>
        </w:rPr>
        <w:t xml:space="preserve"> (рецепторы растяжения) и промежуточный тип – </w:t>
      </w:r>
      <w:r>
        <w:rPr>
          <w:rFonts w:ascii="Times New Roman" w:hAnsi="Times New Roman" w:cs="Times New Roman"/>
          <w:b/>
          <w:sz w:val="28"/>
          <w:szCs w:val="28"/>
        </w:rPr>
        <w:t>фазно-тонические.</w:t>
      </w:r>
    </w:p>
    <w:p>
      <w:pPr>
        <w:pStyle w:val="10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Энергия внешнего раздражения в рецепторах трансформируется в нервные импульсы. В этом заключается </w:t>
      </w:r>
      <w:r>
        <w:rPr>
          <w:rFonts w:ascii="Times New Roman" w:hAnsi="Times New Roman" w:cs="Times New Roman"/>
          <w:b/>
          <w:sz w:val="28"/>
          <w:szCs w:val="28"/>
        </w:rPr>
        <w:t>основная функция рецепторов</w:t>
      </w:r>
      <w:r>
        <w:rPr>
          <w:rFonts w:ascii="Times New Roman" w:hAnsi="Times New Roman" w:cs="Times New Roman"/>
          <w:sz w:val="28"/>
          <w:szCs w:val="28"/>
        </w:rPr>
        <w:t>: кодировать любой вид энергии (химическую, световую, механическую и др.) в нервные импульсы. По афферентным путям импульсы проводятся к соответствующим сенсорным зонам коры, где формируются специфические ощущения.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center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Зрительная сенсорная система человека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Периферической частью зрительной сенсорной системы является глаз. Более </w:t>
      </w:r>
      <w:r>
        <w:rPr>
          <w:rFonts w:ascii="Times New Roman" w:hAnsi="Times New Roman" w:cs="Times New Roman"/>
          <w:b/>
          <w:sz w:val="28"/>
          <w:szCs w:val="28"/>
        </w:rPr>
        <w:t>80%</w:t>
      </w:r>
      <w:r>
        <w:rPr>
          <w:rFonts w:ascii="Times New Roman" w:hAnsi="Times New Roman" w:cs="Times New Roman"/>
          <w:sz w:val="28"/>
          <w:szCs w:val="28"/>
        </w:rPr>
        <w:t xml:space="preserve"> (87%) информации внешнего мира поступает в человеческий мозг через зрительные рецепторы, которые обеспечивают восприятие и анализ светового излучения окружающей среды и формируют зрительные ощущения и образы.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Глаз располагается в глазнице и </w:t>
      </w:r>
      <w:r>
        <w:rPr>
          <w:rFonts w:ascii="Times New Roman" w:hAnsi="Times New Roman" w:cs="Times New Roman"/>
          <w:b/>
          <w:sz w:val="28"/>
          <w:szCs w:val="28"/>
        </w:rPr>
        <w:t>состоит из глазного яблока и вспомогательного аппарата.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Глазное яблоко       Вспомогательный аппарат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Оболочки                 Внутреннее ядро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Защитные приспособления</w:t>
      </w:r>
    </w:p>
    <w:p>
      <w:pPr>
        <w:keepNext w:val="0"/>
        <w:keepLines w:val="0"/>
        <w:pageBreakBefore w:val="0"/>
        <w:numPr>
          <w:ilvl w:val="0"/>
          <w:numId w:val="3"/>
        </w:numPr>
        <w:tabs>
          <w:tab w:val="left" w:pos="2355"/>
        </w:tabs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наружная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хрусталик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Слезный аппарат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</w:rPr>
        <w:t>фиброзная</w:t>
      </w:r>
      <w:r>
        <w:rPr>
          <w:rFonts w:ascii="Times New Roman" w:hAnsi="Times New Roman" w:cs="Times New Roman"/>
          <w:sz w:val="28"/>
          <w:szCs w:val="28"/>
        </w:rPr>
        <w:t xml:space="preserve">             2.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стекловидное тело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Двигательный аппарат</w:t>
      </w:r>
    </w:p>
    <w:p>
      <w:pPr>
        <w:keepNext w:val="0"/>
        <w:keepLines w:val="0"/>
        <w:pageBreakBefore w:val="0"/>
        <w:numPr>
          <w:ilvl w:val="0"/>
          <w:numId w:val="3"/>
        </w:numPr>
        <w:tabs>
          <w:tab w:val="left" w:pos="2460"/>
        </w:tabs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leftChars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средняя-               3.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водянистая влага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сосудистая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leftChars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внутренняя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</w:rPr>
        <w:t>сетчатка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/>
        <w:ind w:left="0" w:right="0" w:firstLine="350" w:firstLineChars="125"/>
        <w:jc w:val="center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Глазное яблоко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/>
        <w:ind w:left="0" w:right="0" w:firstLine="350" w:firstLineChars="125"/>
        <w:jc w:val="both"/>
        <w:textAlignment w:val="auto"/>
        <w:rPr>
          <w:sz w:val="28"/>
          <w:szCs w:val="28"/>
          <w:lang w:val="ru-RU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Глазное яблоко</w:t>
      </w:r>
      <w:r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имеет шаровидную форму, которая изменяется в процессе постнатального развития новорожденного. Оно состоит из ядра, покрытого тремя оболочками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фиброзной, сосудистой и сетчатой (внутренней).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Фиброзная оболочка подразделяется на прозрачную </w:t>
      </w:r>
      <w:r>
        <w:rPr>
          <w:i/>
          <w:iCs/>
          <w:sz w:val="28"/>
          <w:szCs w:val="28"/>
          <w:lang w:val="ru-RU"/>
        </w:rPr>
        <w:t xml:space="preserve">переднюю часть </w:t>
      </w:r>
      <w:r>
        <w:rPr>
          <w:rFonts w:ascii="Times New Roman" w:hAnsi="Times New Roman" w:cs="Times New Roman"/>
          <w:i/>
          <w:iCs/>
          <w:sz w:val="28"/>
          <w:szCs w:val="28"/>
        </w:rPr>
        <w:t>–</w:t>
      </w:r>
      <w:r>
        <w:rPr>
          <w:i/>
          <w:iCs/>
          <w:sz w:val="28"/>
          <w:szCs w:val="28"/>
          <w:lang w:val="ru-RU"/>
        </w:rPr>
        <w:t xml:space="preserve"> роговицу и заднюю </w:t>
      </w:r>
      <w:r>
        <w:rPr>
          <w:rFonts w:ascii="Times New Roman" w:hAnsi="Times New Roman" w:cs="Times New Roman"/>
          <w:i/>
          <w:iCs/>
          <w:sz w:val="28"/>
          <w:szCs w:val="28"/>
        </w:rPr>
        <w:t>–</w:t>
      </w:r>
      <w:r>
        <w:rPr>
          <w:i/>
          <w:iCs/>
          <w:sz w:val="28"/>
          <w:szCs w:val="28"/>
          <w:lang w:val="ru-RU"/>
        </w:rPr>
        <w:t xml:space="preserve"> склеру. </w:t>
      </w:r>
      <w:r>
        <w:rPr>
          <w:sz w:val="28"/>
          <w:szCs w:val="28"/>
          <w:lang w:val="ru-RU"/>
        </w:rPr>
        <w:t>Склера (</w:t>
      </w:r>
      <w:r>
        <w:rPr>
          <w:sz w:val="28"/>
          <w:szCs w:val="28"/>
        </w:rPr>
        <w:t>sclera</w:t>
      </w:r>
      <w:r>
        <w:rPr>
          <w:sz w:val="28"/>
          <w:szCs w:val="28"/>
          <w:lang w:val="ru-RU"/>
        </w:rPr>
        <w:t>) представляет собой плотную соединительную ткань, образованную пучками коллагеновых волокон. Сзади на склере находится решетчатая пластинка, через которую проходят волокна зрительного нерва. В толще склеры, на границе соединения ее с роговицей, имеется сеть мелких полостей, образующих венозный синус склеры, через который происходит отток жидкости из передней камеры глаза.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center"/>
        <w:textAlignment w:val="auto"/>
        <w:rPr>
          <w:rFonts w:ascii="Times New Roman" w:hAnsi="Times New Roman" w:cs="Times New Roman"/>
          <w:b/>
          <w:sz w:val="28"/>
          <w:szCs w:val="28"/>
        </w:rPr>
      </w:pPr>
      <w:bookmarkStart w:id="0" w:name="Роговица_(cornea)_—_это_выпуклая_пластин"/>
      <w:bookmarkEnd w:id="0"/>
      <w:r>
        <w:rPr>
          <w:rFonts w:ascii="Times New Roman" w:hAnsi="Times New Roman" w:cs="Times New Roman"/>
          <w:b/>
          <w:sz w:val="28"/>
          <w:szCs w:val="28"/>
        </w:rPr>
        <w:t>Роговица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Роговица (</w:t>
      </w:r>
      <w:r>
        <w:rPr>
          <w:sz w:val="28"/>
          <w:szCs w:val="28"/>
        </w:rPr>
        <w:t>cornea</w:t>
      </w:r>
      <w:r>
        <w:rPr>
          <w:sz w:val="28"/>
          <w:szCs w:val="28"/>
          <w:lang w:val="ru-RU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это выпуклая пластинка блюдцеобразной формы, круглый край (лимб) которой переходит в склеру. Толщина роговицы от 0,8 до 1, 1 мм. Роговица лишена кровеносных сосудов, и ее питание происходит за счет лимфы.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Сосудистая оболочка глазного яблока находится под склерой и состоит из собственно сосудистой оболочки, ресничного тела и радужки. Ресничное тело участвует в аккомодации глаза, поддерживая, фиксируя и растягивая хрусталик. Большая часть ресничного тела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это ресничная мышца, образованная пучками миоцитов, среди которых различают продольные, циркулярные и радиальные волокна.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Ресничное тело спереди продолжается в радужку, которая представляет собой </w:t>
      </w:r>
      <w:bookmarkStart w:id="1" w:name="_bookmark63"/>
      <w:bookmarkEnd w:id="1"/>
      <w:r>
        <w:rPr>
          <w:sz w:val="28"/>
          <w:szCs w:val="28"/>
          <w:lang w:val="ru-RU"/>
        </w:rPr>
        <w:t>круглый диск с отверстием в центре (зрачок). Радужка, в свою очередь, состоит из пяти слоев. В толще одного из них (сосудистого) проходят две мышцы, пучки миоцитов которых образуют сфинктер (сжиматель) зрачка и радиально расположенные пучки, расширяющие зрачок (дилататор зрачка). Расширительные пучки иннервируются постганглионарными симпатическими волокнами клеток, лежащих в верхнем шейном узле; сжиматель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постганглионарными парасимпатическими волокнами ресничного узла. Пигментный слой радужки двухслойный, а цвет зависит от количества</w:t>
      </w:r>
      <w:r>
        <w:rPr>
          <w:spacing w:val="2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меланина.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/>
        <w:ind w:left="0" w:right="0" w:firstLine="350" w:firstLineChars="125"/>
        <w:jc w:val="center"/>
        <w:textAlignment w:val="auto"/>
        <w:rPr>
          <w:sz w:val="28"/>
          <w:szCs w:val="28"/>
          <w:lang w:val="ru-RU"/>
        </w:rPr>
      </w:pPr>
      <w:bookmarkStart w:id="2" w:name="Хрусталик__"/>
      <w:bookmarkEnd w:id="2"/>
      <w:r>
        <w:rPr>
          <w:sz w:val="28"/>
          <w:szCs w:val="28"/>
          <w:lang w:val="ru-RU"/>
        </w:rPr>
        <w:t>Хрусталик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Хрусталик представляет собой прозрачную двояковыпуклую линзу, диаметром около 9 мм, имеющую переднюю и заднюю поверхности, переходящие одна в другую в районе экватора. Ось хрусталика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линия, соединяющая наиболее выпуклые точки обеих поверхностей, имеет размеры от 3, 7 до 4, 4 мм. Хрусталик покрыт прозрачной капсулой. Ядро хрусталика образовано прозрачными волокнами призматической формы, состоящими из белка кристаллина. Эти волокна формируются в эмбриональном периоде и сохраняются в течение всей</w:t>
      </w:r>
      <w:r>
        <w:rPr>
          <w:spacing w:val="-5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жизни.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Хрусталик подвешен на ресничном пояске (цинновой связке), между волокнами которого расположены петитов канал, сообщающийся камерами глаза. Волокна пояска в сочетании с мышцами обеспечивают аккомодацию</w:t>
      </w:r>
      <w:r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глаза.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Стекловидное тело представляет собой аморфное межклеточное вещество, на передней поверхности которого в ямке расположен хрусталик.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Две камеры глаза, в которых циркулирует влага, содержащая около 0,02% белка, создают внутреннюю среду глазного яблока.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Внутренняя оболочка глазного яблока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сетчатка (</w:t>
      </w:r>
      <w:r>
        <w:rPr>
          <w:sz w:val="28"/>
          <w:szCs w:val="28"/>
        </w:rPr>
        <w:t>retina</w:t>
      </w:r>
      <w:r>
        <w:rPr>
          <w:sz w:val="28"/>
          <w:szCs w:val="28"/>
          <w:lang w:val="ru-RU"/>
        </w:rPr>
        <w:t xml:space="preserve">) прилежит изнутри к сосудистой оболочке. Она состоит из двух листков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внутреннего светочувствительного (нервная часть) и наружного пигментного. Различают заднюю зрительную (фоторецепторную) и переднюю, не содержащую фоторецепторов, части.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Сетчатка имеет слоистое строение. Наружный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пигментный слой, состоит из пигментных эпителиоцитов, от внутренней поверхности которых отходят отростки, отделяющие</w:t>
      </w:r>
      <w:r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друг </w:t>
      </w:r>
      <w:bookmarkStart w:id="3" w:name="Рис._54._Структура_сетчатки:_"/>
      <w:bookmarkEnd w:id="3"/>
      <w:r>
        <w:rPr>
          <w:sz w:val="28"/>
          <w:szCs w:val="28"/>
          <w:lang w:val="ru-RU"/>
        </w:rPr>
        <w:t xml:space="preserve">от друга палочки и колбочки (фоторецепторы). Пигментный слой поглощает световые лучи, предотвращая их отражение. К пигментному эпителию прилежит слой палочек и колбочек, которые представляют собой периферические отростки фоторецепторов. Каждый фоторецептор состоит из наружного и внутреннего сегментов. Наружный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светочувствительный сегмент имеет впячивания плазматических мембран. У палочек эти мембраны образуют диски, у колбочек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мембранные складки. В мембране наружных сегментов содержатся зрительные пигменты. Внутренний сегмент фоторецепторов содержит митохондрии, рибосомы и другие элементы клетки.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Основой фоторецепции является реакция распада пигментов под действием света. Палочки содержат пигмент родопсин и отвечают за сумеречное (черно-белое) зрение. Колбочки различаются по содержащимся в них пигментам на три типа. Один из них содержит пигмент, реагирующий на воздействие красного диапазона световых лучей, другой имеет пигмент, разлагающийся под действием зеленого цвета, а третий реагирует на синий диапазон спект</w:t>
      </w:r>
      <w:r>
        <w:rPr>
          <w:sz w:val="28"/>
          <w:szCs w:val="28"/>
        </w:rPr>
        <w:t>pa</w:t>
      </w:r>
      <w:r>
        <w:rPr>
          <w:sz w:val="28"/>
          <w:szCs w:val="28"/>
          <w:lang w:val="ru-RU"/>
        </w:rPr>
        <w:t>. Таким образом, полный набор всех трех типов колбочек обеспечивает цветное зрение.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сетчатке глаза человека насчитывается около 6</w:t>
      </w:r>
      <w:r>
        <w:rPr>
          <w:rFonts w:hint="default"/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 xml:space="preserve">7 млн колбочек и от 70 до 120 млн палочек. В центре сетчатки находится углубление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центральная ямка</w:t>
      </w:r>
      <w:r>
        <w:rPr>
          <w:sz w:val="28"/>
          <w:szCs w:val="28"/>
          <w:lang w:val="ru-RU"/>
        </w:rPr>
        <w:t xml:space="preserve">, в которой очень плотно расположены колбочки. По наличию окраски, это место называется еще </w:t>
      </w:r>
      <w:r>
        <w:rPr>
          <w:b/>
          <w:sz w:val="28"/>
          <w:szCs w:val="28"/>
          <w:lang w:val="ru-RU"/>
        </w:rPr>
        <w:t>желтым пятном</w:t>
      </w:r>
      <w:r>
        <w:rPr>
          <w:sz w:val="28"/>
          <w:szCs w:val="28"/>
          <w:lang w:val="ru-RU"/>
        </w:rPr>
        <w:t>. При помощи глазных мышц изображение рассматриваемого объекта проецируется в область центральной ямки, что позволяет лучше различить детали. Изображение, проецируемое за пределы центральной ямки, попадает в поле периферического</w:t>
      </w:r>
      <w:r>
        <w:rPr>
          <w:spacing w:val="-3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зрения.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Ребенок рождается с развитым черно-белым восприятием окружающего мира, цветное зрение развивается уже в постнатальный период.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каждой фоторецепторной клетки отходит отросток, который образует синапс с отростками биполярных клеток </w:t>
      </w:r>
      <w:r>
        <w:rPr>
          <w:sz w:val="28"/>
          <w:szCs w:val="28"/>
        </w:rPr>
        <w:t>II</w:t>
      </w:r>
      <w:r>
        <w:rPr>
          <w:sz w:val="28"/>
          <w:szCs w:val="28"/>
          <w:lang w:val="ru-RU"/>
        </w:rPr>
        <w:t xml:space="preserve"> слоя. Биполярные клетки выполняют функцию усилителя сигнала и передают информацию ганглиозным клеткам сетчатки, которые являются выходными элементами сетчатки, так как их аксоны (500 тыс. </w:t>
      </w:r>
      <w:r>
        <w:rPr>
          <w:rFonts w:hint="default"/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 xml:space="preserve"> 1 млн) образуют </w:t>
      </w:r>
      <w:r>
        <w:rPr>
          <w:b/>
          <w:sz w:val="28"/>
          <w:szCs w:val="28"/>
          <w:lang w:val="ru-RU"/>
        </w:rPr>
        <w:t>зрительный нерв.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Кроме перечисленных клеток в сетчатке имеются клетки, участвующие в регуляции функционирования других клеток. Это горизонтальные и амакриновые клетки.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Сетчатка является не только местом восприятия, но и первичным нервным центром обработки зрительной информации.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выхода из сетчатки зрительного нерва называется </w:t>
      </w:r>
      <w:r>
        <w:rPr>
          <w:rFonts w:ascii="Times New Roman" w:hAnsi="Times New Roman" w:cs="Times New Roman"/>
          <w:b/>
          <w:sz w:val="28"/>
          <w:szCs w:val="28"/>
        </w:rPr>
        <w:t>диском зрительного нерва (слепое пятно).</w:t>
      </w:r>
      <w:r>
        <w:rPr>
          <w:rFonts w:ascii="Times New Roman" w:hAnsi="Times New Roman" w:cs="Times New Roman"/>
          <w:sz w:val="28"/>
          <w:szCs w:val="28"/>
        </w:rPr>
        <w:t xml:space="preserve"> В центре диска в сетчатку входит центральная артерия сетчатки.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Зрительные нервы проникают в полость черепа через каналы зрительных нервов. На нижней поверхности мозга образуется перекрест зрительных нервов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b/>
          <w:sz w:val="28"/>
          <w:szCs w:val="28"/>
          <w:lang w:val="ru-RU"/>
        </w:rPr>
        <w:t xml:space="preserve"> хиазма,</w:t>
      </w:r>
      <w:r>
        <w:rPr>
          <w:sz w:val="28"/>
          <w:szCs w:val="28"/>
          <w:lang w:val="ru-RU"/>
        </w:rPr>
        <w:t xml:space="preserve"> при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чем перекрещиваются только волокна, идущие от медиальных частей сетчаток. После перекреста зрительные пути называются трактами. Большинство волокон зрительного тракта направляются в латеральное коленчатое тело промежуточного мозга. Латеральное коленчатое тело имеет слоистое строение и названо так потому, что его слои изгибаются наподобие колена. Нейроны данной структуры направляют свои аксоны через внутреннюю капсулу, затем в составе зрительной радиации к клеткам затылочной доли коры больших полушарий возле шпорной борозды. Этот путь является специфическим зрительным, по нему идет информация только о зрительных стимулах.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center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Слуховая сенсорная система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Периферической частью слуховой сенсорной системы является ухо.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Ухо делят на три отдела: наружное ухо, среднее и внутреннее.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/>
        <w:ind w:left="0" w:right="0" w:firstLine="350" w:firstLineChars="125"/>
        <w:jc w:val="center"/>
        <w:textAlignment w:val="auto"/>
        <w:rPr>
          <w:sz w:val="28"/>
          <w:szCs w:val="28"/>
          <w:lang w:val="ru-RU"/>
        </w:rPr>
      </w:pPr>
      <w:bookmarkStart w:id="4" w:name="Наружное_ухо__"/>
      <w:bookmarkEnd w:id="4"/>
      <w:r>
        <w:rPr>
          <w:sz w:val="28"/>
          <w:szCs w:val="28"/>
          <w:lang w:val="ru-RU"/>
        </w:rPr>
        <w:t>Наружное ухо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Наружное ухо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состоит из хрящевой ушной раковины и наружного слухового прохода, расположенного в височной кости и выстланного серными железами. Отделяется наружное ухо от среднего барабанной перепонкой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/>
        <w:ind w:left="0" w:right="0" w:firstLine="350" w:firstLineChars="125"/>
        <w:jc w:val="center"/>
        <w:textAlignment w:val="auto"/>
        <w:rPr>
          <w:sz w:val="28"/>
          <w:szCs w:val="28"/>
          <w:lang w:val="ru-RU"/>
        </w:rPr>
      </w:pPr>
      <w:bookmarkStart w:id="5" w:name="Среднее_ухо__"/>
      <w:bookmarkEnd w:id="5"/>
      <w:r>
        <w:rPr>
          <w:sz w:val="28"/>
          <w:szCs w:val="28"/>
          <w:lang w:val="ru-RU"/>
        </w:rPr>
        <w:t>Среднее ухо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Среднее ухо представляет собой полость, ограниченную с одной стороны барабанной перепонкой, а с другой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структурами внутреннего уха. Полость среднего уха называется барабанной и выстлана слизистой оболочкой. При помощи Евстахиевой трубы полость сообщается с носоглоткой. В среднем ухе находится система косточек: молоточек, наковальня и стремечко, которые являются усилителями звуковой волны. Они передают волновые колебания от мембраны барабанной перепонки к мембране овального окошка внутреннего уха. На внутренней стенке среднего уха имеется два отверстия (окна)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овальное и круглое. И круглое, и овальное окна закрыты мембраной, причем к мембране овального окошка прикреплено стремечко среднего уха.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/>
        <w:ind w:left="0" w:right="0" w:firstLine="350" w:firstLineChars="125"/>
        <w:jc w:val="center"/>
        <w:textAlignment w:val="auto"/>
        <w:rPr>
          <w:sz w:val="28"/>
          <w:szCs w:val="28"/>
          <w:lang w:val="ru-RU"/>
        </w:rPr>
      </w:pPr>
      <w:bookmarkStart w:id="6" w:name="Внутреннее_ухо__"/>
      <w:bookmarkEnd w:id="6"/>
      <w:r>
        <w:rPr>
          <w:sz w:val="28"/>
          <w:szCs w:val="28"/>
          <w:lang w:val="ru-RU"/>
        </w:rPr>
        <w:t>Внутреннее ухо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Внутреннее ухо</w:t>
      </w:r>
      <w:r>
        <w:rPr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полое костное образование в височной кости, разделенное на костные и перепончатые каналы и полости, содержащие рецепторный аппарат слухового и статокинетического (вестибулярного) анализаторов. Внутреннее ухо находится в толще височной кости и состоит из системы сообщающихся друг с другом костных каналов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костного лабиринта, в котором расположен перепончатый лабиринт. Очертания перепончатого лабиринта</w:t>
      </w:r>
      <w:bookmarkStart w:id="7" w:name="_bookmark67"/>
      <w:bookmarkEnd w:id="7"/>
      <w:r>
        <w:rPr>
          <w:sz w:val="28"/>
          <w:szCs w:val="28"/>
          <w:lang w:val="ru-RU"/>
        </w:rPr>
        <w:t xml:space="preserve"> почти полностью повторяют очертания костного. Пространство между костным и перепончатым лабиринтом, называемое перилимфатическим, заполнено жидкостью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перилимфой, которая по составу сходна с цереброспинальной жидкостью. Перепончатый лабиринт погружен в перилимфу, он прикреплен к стенкам костного футляра соединительнотканными тяжами и заполнен жидкостью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эндолимфой, по составу несколько отличающейся от</w:t>
      </w:r>
      <w:r>
        <w:rPr>
          <w:spacing w:val="-9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перилимфы.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/>
        <w:ind w:left="0" w:right="0" w:firstLine="350" w:firstLineChars="125"/>
        <w:jc w:val="center"/>
        <w:textAlignment w:val="auto"/>
        <w:rPr>
          <w:sz w:val="28"/>
          <w:szCs w:val="28"/>
          <w:lang w:val="ru-RU"/>
        </w:rPr>
      </w:pPr>
      <w:bookmarkStart w:id="8" w:name="Костный_лабиринт__"/>
      <w:bookmarkEnd w:id="8"/>
      <w:r>
        <w:rPr>
          <w:sz w:val="28"/>
          <w:szCs w:val="28"/>
          <w:lang w:val="ru-RU"/>
        </w:rPr>
        <w:t>Костный лабиринт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Костный лабиринт состоит из трех отделов: преддверия, полукружных каналов и улитки. Преддверие образует центральную часть лабиринта. Сзади оно переходит в полукружные каналы, а спереди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в улитку.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/>
        <w:ind w:left="0" w:right="0" w:firstLine="350" w:firstLineChars="125"/>
        <w:jc w:val="center"/>
        <w:textAlignment w:val="auto"/>
        <w:rPr>
          <w:sz w:val="28"/>
          <w:szCs w:val="28"/>
          <w:lang w:val="ru-RU"/>
        </w:rPr>
      </w:pPr>
      <w:bookmarkStart w:id="9" w:name="Костная_улитка__"/>
      <w:bookmarkEnd w:id="9"/>
      <w:r>
        <w:rPr>
          <w:sz w:val="28"/>
          <w:szCs w:val="28"/>
          <w:lang w:val="ru-RU"/>
        </w:rPr>
        <w:t>Костная улитка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Костная улитка представляет собой извитой канал, отходящий от преддверия; он спирально 2,5 раза огибает свою горизонтальную ось (костный стержень) и постепенно суживается к вершине. Вокруг костного стержня спирально извивается узкая костная пластинка, к которой прочно прикреплена продолжающая ее соединительная перепонка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базальная (основная) мембрана, составляющая нижнюю стенку перепончатого канала.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Кроме того, от костной спиральной пластинки под острым углом латерально кверху отходит тонкая соединительнотканная перепонка — преддверная мембрана, называемая также рейсснеровой мембраной; она составляет верхнюю стенку улиткового хода. Образующееся между базальной и вестибулярной мембранами пространство с наружной стороны ограничено соединительнотканной пластинкой, прилегающей к костной стенке улитки. Это пространство называется улитковым ходом (протоком) или средней лестницей, оно заполнено эндолимфой. (Кверху и книзу от него находятся перилимфатические пространства. Нижнее называется барабанной лестницей, верхнее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лестницей преддверия, или вестибулярной лестницей.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Лестницы на верхушке улитки соединяются друг с другом отверстием улитки.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Рецепторный (звуковоспринимающий) аппарат слухового анализатора находится в улитке и представлен волосковыми клетками спирального (Кортиева) органа, который располагается на основной мембране. Состоит он из волосковых клеток и обкладочных клеток. Волосковые клетки являются механорецепторами. Над волосковыми клетками нависает покровная (текториальная) мембрана, прикрепленная к спиральной костной пластике.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Звуковые колебания, распространяющиеся в воздухе, передаются через наружный слуховой проход к барабанной перепонке и через цепь слуховых косточек среднего уха к овальному окну лабиринта, вызывая волнообразные перемещения эндолимфы. Колебания эндолимфы приводят в движение основную мембрану внутреннего уха с рецепторными клетками, которые ударяются своими волосками о неподвижную текториальную</w:t>
      </w:r>
      <w:r>
        <w:rPr>
          <w:spacing w:val="-2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мембрану.</w:t>
      </w:r>
      <w:bookmarkStart w:id="10" w:name="_bookmark68"/>
      <w:bookmarkEnd w:id="10"/>
      <w:r>
        <w:rPr>
          <w:sz w:val="28"/>
          <w:szCs w:val="28"/>
          <w:lang w:val="ru-RU"/>
        </w:rPr>
        <w:t xml:space="preserve"> К волосковым клеткам подходят дендриты биполярных клеток спирального ганглия, который лежит во внутреннем ухе и закручивается вместе с каналом улитки. Аксоны этих нейронов образуют слуховой нерв. По слуховому нерву информация передается к слуховым (кохлеарным) ядрам продолговатого мозга. Первичное слуховое волокно раздваивается, посылая один отросток к вентральному, а другой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к дорсальному кохлеарным ядрам.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Вентральный тракт направляется к ипси- и контрлатеральному оливарным комплексам. Дорсальный тракт переходит на противоположную сторону и направляется в ядро латеральной петли, сюда же приходят волокна оливарного комплекса. После переключения в ядре латеральной петли слуховой тракт достигает нижних холмов четверохолмия и медиального коленчатого тела таламуса, затем информация поступает сначала в первичную слуховую кору, а затем во вторичную.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/>
        <w:jc w:val="center"/>
        <w:textAlignment w:val="auto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</w:pPr>
      <w:bookmarkStart w:id="13" w:name="_GoBack"/>
      <w:bookmarkStart w:id="11" w:name="_Toc142817513"/>
      <w:bookmarkStart w:id="12" w:name="_Toc143539779"/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Вопросы </w:t>
      </w:r>
      <w:bookmarkEnd w:id="11"/>
      <w:bookmarkEnd w:id="12"/>
      <w:r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  <w:t>для самоконтроля</w:t>
      </w:r>
    </w:p>
    <w:bookmarkEnd w:id="13"/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color w:val="auto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firstLine="350" w:firstLineChars="125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Общие принципы организации сенсорных систем.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firstLine="350" w:firstLineChars="125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Рецепторы, их классификация. Модальность стимула.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firstLine="350" w:firstLineChars="125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Глаз как орган зрения.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firstLine="350" w:firstLineChars="125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Бинокулярное зрение. Формирование зрительного образа.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firstLine="350" w:firstLineChars="125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Морфофункциональное организация уха.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350" w:firstLineChars="125"/>
        <w:textAlignment w:val="auto"/>
        <w:rPr>
          <w:color w:val="auto"/>
          <w:sz w:val="28"/>
          <w:szCs w:val="28"/>
          <w:lang w:val="ru-RU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/>
        <w:jc w:val="center"/>
        <w:textAlignment w:val="auto"/>
        <w:rPr>
          <w:rFonts w:hint="default" w:ascii="Times New Roman" w:hAnsi="Times New Roman" w:cs="Times New Roman"/>
          <w:i w:val="0"/>
          <w:iCs w:val="0"/>
          <w:color w:val="auto"/>
          <w:sz w:val="28"/>
          <w:szCs w:val="28"/>
          <w:lang w:val="ru-RU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 w:right="0" w:firstLine="350" w:firstLineChars="125"/>
        <w:textAlignment w:val="auto"/>
        <w:rPr>
          <w:sz w:val="28"/>
          <w:szCs w:val="28"/>
          <w:lang w:val="ru-RU"/>
        </w:rPr>
      </w:pPr>
    </w:p>
    <w:sectPr>
      <w:footerReference r:id="rId5" w:type="default"/>
      <w:pgSz w:w="11906" w:h="16838"/>
      <w:pgMar w:top="1134" w:right="567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90426675"/>
      <w:docPartObj>
        <w:docPartGallery w:val="autotext"/>
      </w:docPartObj>
    </w:sdtPr>
    <w:sdtContent>
      <w:p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E4A44C"/>
    <w:multiLevelType w:val="singleLevel"/>
    <w:tmpl w:val="D3E4A44C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A041D77"/>
    <w:multiLevelType w:val="multilevel"/>
    <w:tmpl w:val="5A041D77"/>
    <w:lvl w:ilvl="0" w:tentative="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25" w:hanging="360"/>
      </w:pPr>
    </w:lvl>
    <w:lvl w:ilvl="2" w:tentative="0">
      <w:start w:val="1"/>
      <w:numFmt w:val="lowerRoman"/>
      <w:lvlText w:val="%3."/>
      <w:lvlJc w:val="right"/>
      <w:pPr>
        <w:ind w:left="2145" w:hanging="180"/>
      </w:pPr>
    </w:lvl>
    <w:lvl w:ilvl="3" w:tentative="0">
      <w:start w:val="1"/>
      <w:numFmt w:val="decimal"/>
      <w:lvlText w:val="%4."/>
      <w:lvlJc w:val="left"/>
      <w:pPr>
        <w:ind w:left="2865" w:hanging="360"/>
      </w:pPr>
    </w:lvl>
    <w:lvl w:ilvl="4" w:tentative="0">
      <w:start w:val="1"/>
      <w:numFmt w:val="lowerLetter"/>
      <w:lvlText w:val="%5."/>
      <w:lvlJc w:val="left"/>
      <w:pPr>
        <w:ind w:left="3585" w:hanging="360"/>
      </w:pPr>
    </w:lvl>
    <w:lvl w:ilvl="5" w:tentative="0">
      <w:start w:val="1"/>
      <w:numFmt w:val="lowerRoman"/>
      <w:lvlText w:val="%6."/>
      <w:lvlJc w:val="right"/>
      <w:pPr>
        <w:ind w:left="4305" w:hanging="180"/>
      </w:pPr>
    </w:lvl>
    <w:lvl w:ilvl="6" w:tentative="0">
      <w:start w:val="1"/>
      <w:numFmt w:val="decimal"/>
      <w:lvlText w:val="%7."/>
      <w:lvlJc w:val="left"/>
      <w:pPr>
        <w:ind w:left="5025" w:hanging="360"/>
      </w:pPr>
    </w:lvl>
    <w:lvl w:ilvl="7" w:tentative="0">
      <w:start w:val="1"/>
      <w:numFmt w:val="lowerLetter"/>
      <w:lvlText w:val="%8."/>
      <w:lvlJc w:val="left"/>
      <w:pPr>
        <w:ind w:left="5745" w:hanging="360"/>
      </w:pPr>
    </w:lvl>
    <w:lvl w:ilvl="8" w:tentative="0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6E5F042C"/>
    <w:multiLevelType w:val="multilevel"/>
    <w:tmpl w:val="6E5F042C"/>
    <w:lvl w:ilvl="0" w:tentative="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25" w:hanging="360"/>
      </w:pPr>
    </w:lvl>
    <w:lvl w:ilvl="2" w:tentative="0">
      <w:start w:val="1"/>
      <w:numFmt w:val="lowerRoman"/>
      <w:lvlText w:val="%3."/>
      <w:lvlJc w:val="right"/>
      <w:pPr>
        <w:ind w:left="2145" w:hanging="180"/>
      </w:pPr>
    </w:lvl>
    <w:lvl w:ilvl="3" w:tentative="0">
      <w:start w:val="1"/>
      <w:numFmt w:val="decimal"/>
      <w:lvlText w:val="%4."/>
      <w:lvlJc w:val="left"/>
      <w:pPr>
        <w:ind w:left="2865" w:hanging="360"/>
      </w:pPr>
    </w:lvl>
    <w:lvl w:ilvl="4" w:tentative="0">
      <w:start w:val="1"/>
      <w:numFmt w:val="lowerLetter"/>
      <w:lvlText w:val="%5."/>
      <w:lvlJc w:val="left"/>
      <w:pPr>
        <w:ind w:left="3585" w:hanging="360"/>
      </w:pPr>
    </w:lvl>
    <w:lvl w:ilvl="5" w:tentative="0">
      <w:start w:val="1"/>
      <w:numFmt w:val="lowerRoman"/>
      <w:lvlText w:val="%6."/>
      <w:lvlJc w:val="right"/>
      <w:pPr>
        <w:ind w:left="4305" w:hanging="180"/>
      </w:pPr>
    </w:lvl>
    <w:lvl w:ilvl="6" w:tentative="0">
      <w:start w:val="1"/>
      <w:numFmt w:val="decimal"/>
      <w:lvlText w:val="%7."/>
      <w:lvlJc w:val="left"/>
      <w:pPr>
        <w:ind w:left="5025" w:hanging="360"/>
      </w:pPr>
    </w:lvl>
    <w:lvl w:ilvl="7" w:tentative="0">
      <w:start w:val="1"/>
      <w:numFmt w:val="lowerLetter"/>
      <w:lvlText w:val="%8."/>
      <w:lvlJc w:val="left"/>
      <w:pPr>
        <w:ind w:left="5745" w:hanging="360"/>
      </w:pPr>
    </w:lvl>
    <w:lvl w:ilvl="8" w:tentative="0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7C842A34"/>
    <w:multiLevelType w:val="multilevel"/>
    <w:tmpl w:val="7C842A3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C85"/>
    <w:rsid w:val="00014A8D"/>
    <w:rsid w:val="00045B2C"/>
    <w:rsid w:val="00073A1E"/>
    <w:rsid w:val="001531CF"/>
    <w:rsid w:val="00157BFD"/>
    <w:rsid w:val="001909D5"/>
    <w:rsid w:val="00193BD5"/>
    <w:rsid w:val="001A0B8D"/>
    <w:rsid w:val="001C2420"/>
    <w:rsid w:val="00206C6A"/>
    <w:rsid w:val="0022487F"/>
    <w:rsid w:val="00272922"/>
    <w:rsid w:val="002D0839"/>
    <w:rsid w:val="00315248"/>
    <w:rsid w:val="00383A8F"/>
    <w:rsid w:val="00395109"/>
    <w:rsid w:val="003965AB"/>
    <w:rsid w:val="0042154B"/>
    <w:rsid w:val="004456BF"/>
    <w:rsid w:val="00471928"/>
    <w:rsid w:val="00476CF4"/>
    <w:rsid w:val="004A6A7B"/>
    <w:rsid w:val="004D3C0F"/>
    <w:rsid w:val="004D4785"/>
    <w:rsid w:val="004F54D4"/>
    <w:rsid w:val="005004B7"/>
    <w:rsid w:val="00524DA8"/>
    <w:rsid w:val="005C2750"/>
    <w:rsid w:val="006068FA"/>
    <w:rsid w:val="00615136"/>
    <w:rsid w:val="006F787E"/>
    <w:rsid w:val="0079783A"/>
    <w:rsid w:val="00810079"/>
    <w:rsid w:val="0081032E"/>
    <w:rsid w:val="00887DF2"/>
    <w:rsid w:val="008E2054"/>
    <w:rsid w:val="008E74C5"/>
    <w:rsid w:val="0091056A"/>
    <w:rsid w:val="00944C85"/>
    <w:rsid w:val="0095250F"/>
    <w:rsid w:val="00995032"/>
    <w:rsid w:val="009C796A"/>
    <w:rsid w:val="009D6028"/>
    <w:rsid w:val="00A27096"/>
    <w:rsid w:val="00A55466"/>
    <w:rsid w:val="00AB158D"/>
    <w:rsid w:val="00B83FE7"/>
    <w:rsid w:val="00BB3FE9"/>
    <w:rsid w:val="00BD5107"/>
    <w:rsid w:val="00C33328"/>
    <w:rsid w:val="00C37774"/>
    <w:rsid w:val="00C7726F"/>
    <w:rsid w:val="00CA61BF"/>
    <w:rsid w:val="00CC6628"/>
    <w:rsid w:val="00CE5E75"/>
    <w:rsid w:val="00D037AF"/>
    <w:rsid w:val="00D131FD"/>
    <w:rsid w:val="00D32A3D"/>
    <w:rsid w:val="00E346A0"/>
    <w:rsid w:val="00E40275"/>
    <w:rsid w:val="00E47EE1"/>
    <w:rsid w:val="00E528D0"/>
    <w:rsid w:val="00E66891"/>
    <w:rsid w:val="00E714C7"/>
    <w:rsid w:val="00E80F7A"/>
    <w:rsid w:val="00ED427F"/>
    <w:rsid w:val="00ED525F"/>
    <w:rsid w:val="00EE18F6"/>
    <w:rsid w:val="00EE7E36"/>
    <w:rsid w:val="00F341FA"/>
    <w:rsid w:val="00F80DC4"/>
    <w:rsid w:val="00F95017"/>
    <w:rsid w:val="03526544"/>
    <w:rsid w:val="203A4B4C"/>
    <w:rsid w:val="332C0400"/>
    <w:rsid w:val="36821864"/>
    <w:rsid w:val="40AE1E7D"/>
    <w:rsid w:val="518B4840"/>
    <w:rsid w:val="6CD82A65"/>
    <w:rsid w:val="7FDD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link w:val="15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3">
    <w:name w:val="heading 3"/>
    <w:basedOn w:val="1"/>
    <w:next w:val="1"/>
    <w:link w:val="16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4">
    <w:name w:val="heading 4"/>
    <w:basedOn w:val="1"/>
    <w:next w:val="1"/>
    <w:link w:val="13"/>
    <w:qFormat/>
    <w:uiPriority w:val="1"/>
    <w:pPr>
      <w:widowControl w:val="0"/>
      <w:autoSpaceDE w:val="0"/>
      <w:autoSpaceDN w:val="0"/>
      <w:spacing w:before="90" w:after="0" w:line="240" w:lineRule="auto"/>
      <w:ind w:left="261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Body Text"/>
    <w:basedOn w:val="1"/>
    <w:link w:val="14"/>
    <w:qFormat/>
    <w:uiPriority w:val="1"/>
    <w:pPr>
      <w:widowControl w:val="0"/>
      <w:autoSpaceDE w:val="0"/>
      <w:autoSpaceDN w:val="0"/>
      <w:spacing w:after="0" w:line="240" w:lineRule="auto"/>
      <w:ind w:left="261"/>
      <w:jc w:val="both"/>
    </w:pPr>
    <w:rPr>
      <w:rFonts w:ascii="Times New Roman" w:hAnsi="Times New Roman" w:eastAsia="Times New Roman" w:cs="Times New Roman"/>
      <w:lang w:val="en-US"/>
    </w:rPr>
  </w:style>
  <w:style w:type="paragraph" w:styleId="9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List Paragraph"/>
    <w:basedOn w:val="1"/>
    <w:qFormat/>
    <w:uiPriority w:val="1"/>
    <w:pPr>
      <w:ind w:left="720"/>
      <w:contextualSpacing/>
    </w:pPr>
  </w:style>
  <w:style w:type="character" w:customStyle="1" w:styleId="11">
    <w:name w:val="Верхний колонтитул Знак"/>
    <w:basedOn w:val="5"/>
    <w:link w:val="7"/>
    <w:qFormat/>
    <w:uiPriority w:val="99"/>
  </w:style>
  <w:style w:type="character" w:customStyle="1" w:styleId="12">
    <w:name w:val="Нижний колонтитул Знак"/>
    <w:basedOn w:val="5"/>
    <w:link w:val="9"/>
    <w:qFormat/>
    <w:uiPriority w:val="99"/>
  </w:style>
  <w:style w:type="character" w:customStyle="1" w:styleId="13">
    <w:name w:val="Заголовок 4 Знак"/>
    <w:basedOn w:val="5"/>
    <w:link w:val="4"/>
    <w:qFormat/>
    <w:uiPriority w:val="1"/>
    <w:rPr>
      <w:rFonts w:ascii="Times New Roman" w:hAnsi="Times New Roman" w:eastAsia="Times New Roman" w:cs="Times New Roman"/>
      <w:b/>
      <w:bCs/>
      <w:sz w:val="24"/>
      <w:szCs w:val="24"/>
      <w:lang w:val="en-US"/>
    </w:rPr>
  </w:style>
  <w:style w:type="character" w:customStyle="1" w:styleId="14">
    <w:name w:val="Основной текст Знак"/>
    <w:basedOn w:val="5"/>
    <w:link w:val="8"/>
    <w:qFormat/>
    <w:uiPriority w:val="1"/>
    <w:rPr>
      <w:rFonts w:ascii="Times New Roman" w:hAnsi="Times New Roman" w:eastAsia="Times New Roman" w:cs="Times New Roman"/>
      <w:lang w:val="en-US"/>
    </w:rPr>
  </w:style>
  <w:style w:type="character" w:customStyle="1" w:styleId="15">
    <w:name w:val="Заголовок 2 Знак"/>
    <w:basedOn w:val="5"/>
    <w:link w:val="2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16">
    <w:name w:val="Заголовок 3 Знак"/>
    <w:basedOn w:val="5"/>
    <w:link w:val="3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2918</Words>
  <Characters>16633</Characters>
  <Lines>138</Lines>
  <Paragraphs>39</Paragraphs>
  <TotalTime>0</TotalTime>
  <ScaleCrop>false</ScaleCrop>
  <LinksUpToDate>false</LinksUpToDate>
  <CharactersWithSpaces>19512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2015-01-16T18:16:00Z</dcterms:created>
  <dc:creator>Magomadova</dc:creator>
  <cp:lastModifiedBy>LENOVO</cp:lastModifiedBy>
  <dcterms:modified xsi:type="dcterms:W3CDTF">2023-02-01T18:38:04Z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4FBC3D8177044025B724B46F2C01F989</vt:lpwstr>
  </property>
</Properties>
</file>