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7616B" w14:textId="2680AA51" w:rsidR="00137A12" w:rsidRPr="00137A12" w:rsidRDefault="001916F3" w:rsidP="00137A12">
      <w:pPr>
        <w:pStyle w:val="11"/>
      </w:pPr>
      <w:bookmarkStart w:id="0" w:name="_Toc96346478"/>
      <w:r>
        <w:t>Тема 6</w:t>
      </w:r>
      <w:r w:rsidR="00137A12" w:rsidRPr="00137A12">
        <w:t xml:space="preserve">. </w:t>
      </w:r>
      <w:bookmarkStart w:id="1" w:name="_GoBack"/>
      <w:r w:rsidR="00137A12" w:rsidRPr="00137A12">
        <w:t>Структура кредитной и банковской систем, функции банков и классификацию банковских   операций</w:t>
      </w:r>
      <w:bookmarkEnd w:id="0"/>
    </w:p>
    <w:p w14:paraId="3F511F56" w14:textId="26D771EC" w:rsidR="00137A12" w:rsidRDefault="001916F3" w:rsidP="00C84F1A">
      <w:pPr>
        <w:pStyle w:val="21"/>
      </w:pPr>
      <w:bookmarkStart w:id="2" w:name="_Toc96346479"/>
      <w:bookmarkEnd w:id="1"/>
      <w:r>
        <w:t>6</w:t>
      </w:r>
      <w:r w:rsidR="00137A12" w:rsidRPr="00137A12">
        <w:t>.1. Понятие и структура банковской и кредитной систем.</w:t>
      </w:r>
      <w:bookmarkEnd w:id="2"/>
      <w:r w:rsidR="00137A12" w:rsidRPr="00137A12">
        <w:t xml:space="preserve"> </w:t>
      </w:r>
    </w:p>
    <w:p w14:paraId="047CD9C3" w14:textId="44BAC7D6" w:rsidR="00747278" w:rsidRDefault="00747278" w:rsidP="00747278"/>
    <w:p w14:paraId="75477CE2" w14:textId="77777777" w:rsidR="00747278" w:rsidRPr="002A3FB2" w:rsidRDefault="00747278" w:rsidP="00747278">
      <w:pPr>
        <w:ind w:firstLine="400"/>
        <w:rPr>
          <w:rFonts w:ascii="Times New Roman" w:eastAsia="Times New Roman" w:hAnsi="Times New Roman"/>
          <w:color w:val="000000"/>
          <w:lang w:eastAsia="ru-RU"/>
        </w:rPr>
      </w:pPr>
      <w:r w:rsidRPr="002A3FB2">
        <w:rPr>
          <w:rFonts w:ascii="Times New Roman" w:eastAsia="Times New Roman" w:hAnsi="Times New Roman"/>
          <w:b/>
          <w:color w:val="000000"/>
          <w:lang w:eastAsia="ru-RU"/>
        </w:rPr>
        <w:t>Кредитная система</w:t>
      </w:r>
      <w:r w:rsidRPr="002A3FB2">
        <w:rPr>
          <w:rFonts w:ascii="Times New Roman" w:eastAsia="Times New Roman" w:hAnsi="Times New Roman"/>
          <w:color w:val="000000"/>
          <w:lang w:eastAsia="ru-RU"/>
        </w:rPr>
        <w:t xml:space="preserve"> - это совокупность кредитных отношений и институтов, организующих эти отношения.</w:t>
      </w:r>
    </w:p>
    <w:p w14:paraId="528ED865" w14:textId="77777777" w:rsidR="00747278" w:rsidRPr="002A3FB2" w:rsidRDefault="00747278" w:rsidP="00747278">
      <w:pPr>
        <w:ind w:firstLine="400"/>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 определении понятия кредитной системы следует различать функциональный и институциональный подходы.</w:t>
      </w:r>
    </w:p>
    <w:p w14:paraId="4D1082EB" w14:textId="77777777" w:rsidR="00747278" w:rsidRPr="002A3FB2" w:rsidRDefault="00747278" w:rsidP="00747278">
      <w:pPr>
        <w:ind w:firstLine="400"/>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  с позиций </w:t>
      </w:r>
      <w:r w:rsidRPr="002A3FB2">
        <w:rPr>
          <w:rFonts w:ascii="Times New Roman" w:eastAsia="Times New Roman" w:hAnsi="Times New Roman"/>
          <w:i/>
          <w:color w:val="000000"/>
          <w:lang w:eastAsia="ru-RU"/>
        </w:rPr>
        <w:t>функционального подхода</w:t>
      </w:r>
      <w:r w:rsidRPr="002A3FB2">
        <w:rPr>
          <w:rFonts w:ascii="Times New Roman" w:eastAsia="Times New Roman" w:hAnsi="Times New Roman"/>
          <w:color w:val="000000"/>
          <w:lang w:eastAsia="ru-RU"/>
        </w:rPr>
        <w:t xml:space="preserve"> кредитная система представлена видами кредита, методами кредитования;</w:t>
      </w:r>
    </w:p>
    <w:p w14:paraId="0D7B3E40" w14:textId="77777777" w:rsidR="00747278" w:rsidRDefault="00747278" w:rsidP="00747278">
      <w:pPr>
        <w:ind w:firstLine="400"/>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  с позиций </w:t>
      </w:r>
      <w:r w:rsidRPr="002A3FB2">
        <w:rPr>
          <w:rFonts w:ascii="Times New Roman" w:eastAsia="Times New Roman" w:hAnsi="Times New Roman"/>
          <w:i/>
          <w:color w:val="000000"/>
          <w:lang w:eastAsia="ru-RU"/>
        </w:rPr>
        <w:t>институционального подхода</w:t>
      </w:r>
      <w:r w:rsidRPr="002A3FB2">
        <w:rPr>
          <w:rFonts w:ascii="Times New Roman" w:eastAsia="Times New Roman" w:hAnsi="Times New Roman"/>
          <w:color w:val="000000"/>
          <w:lang w:eastAsia="ru-RU"/>
        </w:rPr>
        <w:t xml:space="preserve"> кредитная система представлена кредитно-финансовыми учреждениями.</w:t>
      </w:r>
    </w:p>
    <w:p w14:paraId="4C0FDEA9" w14:textId="77777777" w:rsidR="00747278"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Кредитная система государства складывается из банковской системы и совокупности так называемых небанковских банков, т. е. небанковских кредитно-финансовых институтов, способных аккумулировать временно свободные средства и размещать их с помощью кредита</w:t>
      </w:r>
      <w:r>
        <w:rPr>
          <w:rFonts w:ascii="Times New Roman" w:eastAsia="Times New Roman" w:hAnsi="Times New Roman"/>
          <w:color w:val="000000"/>
          <w:lang w:eastAsia="ru-RU"/>
        </w:rPr>
        <w:t xml:space="preserve"> (рис.)</w:t>
      </w:r>
      <w:r w:rsidRPr="002A3FB2">
        <w:rPr>
          <w:rFonts w:ascii="Times New Roman" w:eastAsia="Times New Roman" w:hAnsi="Times New Roman"/>
          <w:color w:val="000000"/>
          <w:lang w:eastAsia="ru-RU"/>
        </w:rPr>
        <w:t xml:space="preserve">. </w:t>
      </w:r>
    </w:p>
    <w:p w14:paraId="17DDE931"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 мировой практике небанковские кредитно-финансовые институты представлены инвестиционными, финансовыми и страховыми компаниями, пенсионными фондами, сберегательными кассами, ломбардами и кредитной кооперацией. Эти учреждения, формально не являясь банками, выполняют многие банковские операции и конкурируют с банками. Однако</w:t>
      </w:r>
      <w:r>
        <w:rPr>
          <w:rFonts w:ascii="Times New Roman" w:eastAsia="Times New Roman" w:hAnsi="Times New Roman"/>
          <w:color w:val="000000"/>
          <w:lang w:eastAsia="ru-RU"/>
        </w:rPr>
        <w:t>,</w:t>
      </w:r>
      <w:r w:rsidRPr="002A3FB2">
        <w:rPr>
          <w:rFonts w:ascii="Times New Roman" w:eastAsia="Times New Roman" w:hAnsi="Times New Roman"/>
          <w:color w:val="000000"/>
          <w:lang w:eastAsia="ru-RU"/>
        </w:rPr>
        <w:t xml:space="preserve"> несмотря на постепенное стирание различий между банками и небанковскими кредитно-финансовыми институтами, ядром кредитной инфраструктуры остается банковская система.</w:t>
      </w:r>
    </w:p>
    <w:p w14:paraId="3747B094" w14:textId="77777777" w:rsidR="00747278" w:rsidRPr="002A3FB2" w:rsidRDefault="00747278" w:rsidP="00747278">
      <w:pPr>
        <w:shd w:val="clear" w:color="auto" w:fill="FFFFFF"/>
        <w:autoSpaceDE w:val="0"/>
        <w:autoSpaceDN w:val="0"/>
        <w:adjustRightInd w:val="0"/>
        <w:spacing w:before="360" w:after="240"/>
        <w:rPr>
          <w:rFonts w:ascii="Times New Roman" w:eastAsia="Times New Roman" w:hAnsi="Times New Roman"/>
          <w:color w:val="000000"/>
          <w:lang w:eastAsia="ru-RU"/>
        </w:rPr>
      </w:pPr>
      <w:r w:rsidRPr="002A3FB2">
        <w:rPr>
          <w:rFonts w:ascii="Times New Roman" w:hAnsi="Times New Roman"/>
          <w:noProof/>
          <w:lang w:eastAsia="ru-RU"/>
        </w:rPr>
        <w:drawing>
          <wp:inline distT="0" distB="0" distL="0" distR="0" wp14:anchorId="2ACA6313" wp14:editId="31479B5B">
            <wp:extent cx="5745708" cy="4026090"/>
            <wp:effectExtent l="0" t="0" r="7620" b="0"/>
            <wp:docPr id="17" name="Рисунок 17" descr="http://www.grandars.ru/images/1/review/id/649/6ceaa2e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andars.ru/images/1/review/id/649/6ceaa2e6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5708" cy="4026090"/>
                    </a:xfrm>
                    <a:prstGeom prst="rect">
                      <a:avLst/>
                    </a:prstGeom>
                    <a:noFill/>
                    <a:ln>
                      <a:noFill/>
                    </a:ln>
                  </pic:spPr>
                </pic:pic>
              </a:graphicData>
            </a:graphic>
          </wp:inline>
        </w:drawing>
      </w:r>
    </w:p>
    <w:p w14:paraId="544DE4F2" w14:textId="77777777" w:rsidR="00747278" w:rsidRPr="002A3FB2" w:rsidRDefault="00747278" w:rsidP="00747278">
      <w:pPr>
        <w:shd w:val="clear" w:color="auto" w:fill="FFFFFF"/>
        <w:autoSpaceDE w:val="0"/>
        <w:autoSpaceDN w:val="0"/>
        <w:adjustRightInd w:val="0"/>
        <w:spacing w:before="360" w:after="240"/>
        <w:jc w:val="center"/>
        <w:rPr>
          <w:rFonts w:ascii="Times New Roman" w:eastAsia="Times New Roman" w:hAnsi="Times New Roman"/>
          <w:color w:val="000000"/>
          <w:lang w:eastAsia="ru-RU"/>
        </w:rPr>
      </w:pPr>
      <w:r>
        <w:rPr>
          <w:rFonts w:ascii="Times New Roman" w:eastAsia="Times New Roman" w:hAnsi="Times New Roman"/>
          <w:color w:val="000000"/>
          <w:lang w:eastAsia="ru-RU"/>
        </w:rPr>
        <w:t>Рис. Структура кредитной системы</w:t>
      </w:r>
    </w:p>
    <w:p w14:paraId="4B55072F"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lastRenderedPageBreak/>
        <w:t xml:space="preserve">Вся совокупность банков в национальной экономике образует банковскую систему страны. В настоящее время практически во всех странах с развитой рыночной экономикой </w:t>
      </w:r>
      <w:r w:rsidRPr="002A3FB2">
        <w:rPr>
          <w:rFonts w:ascii="Times New Roman" w:eastAsia="Times New Roman" w:hAnsi="Times New Roman"/>
          <w:i/>
          <w:color w:val="000000"/>
          <w:lang w:eastAsia="ru-RU"/>
        </w:rPr>
        <w:t>банковская система имеет два уровня.</w:t>
      </w:r>
    </w:p>
    <w:p w14:paraId="180165CD"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Первый уровень банковской системы</w:t>
      </w:r>
      <w:r w:rsidRPr="002A3FB2">
        <w:rPr>
          <w:rFonts w:ascii="Times New Roman" w:eastAsia="Times New Roman" w:hAnsi="Times New Roman"/>
          <w:color w:val="000000"/>
          <w:lang w:eastAsia="ru-RU"/>
        </w:rPr>
        <w:t> образует центральный банк. За ним законодательно закрепляются монополия на эмиссию национальных денежных знаков и ряд особых функций в области кредитно-денежной политики.</w:t>
      </w:r>
    </w:p>
    <w:p w14:paraId="08AB2724"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Второй уровень</w:t>
      </w:r>
      <w:r w:rsidRPr="002A3FB2">
        <w:rPr>
          <w:rFonts w:ascii="Times New Roman" w:eastAsia="Times New Roman" w:hAnsi="Times New Roman"/>
          <w:color w:val="000000"/>
          <w:lang w:eastAsia="ru-RU"/>
        </w:rPr>
        <w:t xml:space="preserve"> двухуровневой банковской системы занимают коммерческие банки. Они концентрируют основную часть кредитных ресурсов, осуществляют в широком диапазоне банковские операции и финансовые услуги для юридических и физических лиц. </w:t>
      </w:r>
    </w:p>
    <w:p w14:paraId="2909565D" w14:textId="77777777" w:rsidR="00747278" w:rsidRPr="002A3FB2" w:rsidRDefault="00747278" w:rsidP="00747278">
      <w:pPr>
        <w:shd w:val="clear" w:color="auto" w:fill="FFFFFF"/>
        <w:rPr>
          <w:rFonts w:ascii="Times New Roman" w:eastAsia="Times New Roman" w:hAnsi="Times New Roman"/>
          <w:b/>
          <w:bCs/>
          <w:u w:val="single"/>
          <w:lang w:eastAsia="ru-RU"/>
        </w:rPr>
      </w:pPr>
      <w:r w:rsidRPr="002A3FB2">
        <w:rPr>
          <w:rFonts w:ascii="Times New Roman" w:eastAsia="Times New Roman" w:hAnsi="Times New Roman"/>
          <w:b/>
          <w:bCs/>
          <w:u w:val="single"/>
          <w:lang w:eastAsia="ru-RU"/>
        </w:rPr>
        <w:t>Центральный банк</w:t>
      </w:r>
    </w:p>
    <w:p w14:paraId="6642EFCC"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 центре кредитной системы находится центральный банк, который, как правило, принадлежит государству и является важнейшим орудием макроэкономического регулирования экономики. Центральный банк монополизирует выпуск (</w:t>
      </w:r>
      <w:hyperlink r:id="rId9" w:tooltip="Эмиссия денег" w:history="1">
        <w:r w:rsidRPr="002A3FB2">
          <w:rPr>
            <w:rFonts w:ascii="Times New Roman" w:eastAsia="Times New Roman" w:hAnsi="Times New Roman"/>
            <w:color w:val="5A3696"/>
            <w:lang w:eastAsia="ru-RU"/>
          </w:rPr>
          <w:t>эмиссию</w:t>
        </w:r>
      </w:hyperlink>
      <w:r w:rsidRPr="002A3FB2">
        <w:rPr>
          <w:rFonts w:ascii="Times New Roman" w:eastAsia="Times New Roman" w:hAnsi="Times New Roman"/>
          <w:color w:val="000000"/>
          <w:lang w:eastAsia="ru-RU"/>
        </w:rPr>
        <w:t>) кредитных денег в наличной форме (банкнот), аккумулирует и хранит кассовые резервы других кредитных учреждений, официальные золотовалютные резервы государства, осуществляет кредитование коммерческих банков, кредитует и выполняет расчетные операции для правительства, осуществляет контроль за деятельностью прочих кредитных институтов.</w:t>
      </w:r>
    </w:p>
    <w:p w14:paraId="30F63FEC" w14:textId="77777777" w:rsidR="00747278" w:rsidRPr="002A3FB2" w:rsidRDefault="00747278" w:rsidP="00747278">
      <w:pPr>
        <w:shd w:val="clear" w:color="auto" w:fill="FFFFFF"/>
        <w:rPr>
          <w:rFonts w:ascii="Times New Roman" w:eastAsia="Times New Roman" w:hAnsi="Times New Roman"/>
          <w:b/>
          <w:bCs/>
          <w:u w:val="single"/>
          <w:lang w:eastAsia="ru-RU"/>
        </w:rPr>
      </w:pPr>
      <w:r w:rsidRPr="002A3FB2">
        <w:rPr>
          <w:rFonts w:ascii="Times New Roman" w:eastAsia="Times New Roman" w:hAnsi="Times New Roman"/>
          <w:b/>
          <w:bCs/>
          <w:u w:val="single"/>
          <w:lang w:eastAsia="ru-RU"/>
        </w:rPr>
        <w:t>Коммерческие банки</w:t>
      </w:r>
    </w:p>
    <w:p w14:paraId="71FF2044"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Вторым элементом современной банковской системы являются коммерческие банки — кредитные учреждения универсального характера, которые производят кредитные, фондовые, посреднические операции, осуществляют расчет и организуют платежный оборот в масштабе всего народного хозяйства.</w:t>
      </w:r>
    </w:p>
    <w:p w14:paraId="6385C13E" w14:textId="77777777" w:rsidR="00747278" w:rsidRPr="002A3FB2" w:rsidRDefault="00747278" w:rsidP="00747278">
      <w:pPr>
        <w:shd w:val="clear" w:color="auto" w:fill="FFFFFF"/>
        <w:rPr>
          <w:rFonts w:ascii="Times New Roman" w:eastAsia="Times New Roman" w:hAnsi="Times New Roman"/>
          <w:b/>
          <w:bCs/>
          <w:lang w:eastAsia="ru-RU"/>
        </w:rPr>
      </w:pPr>
      <w:r w:rsidRPr="002A3FB2">
        <w:rPr>
          <w:rFonts w:ascii="Times New Roman" w:eastAsia="Times New Roman" w:hAnsi="Times New Roman"/>
          <w:b/>
          <w:bCs/>
          <w:lang w:eastAsia="ru-RU"/>
        </w:rPr>
        <w:t>Небанковские кредитно-финансовые учреждения</w:t>
      </w:r>
    </w:p>
    <w:p w14:paraId="1D536122"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Третий элемент кредитной системы — специализированные кредитно-финансовые учреждения, занимающиеся кредитованием определенных сфер и отраслей хозяйственной деятельности. В их деятельности можно выделить одну или две основных операции, они доминируют в относительно узких секторах рынка ссудных капиталов и имеют специфическую клиентуру.</w:t>
      </w:r>
    </w:p>
    <w:p w14:paraId="22C227A0" w14:textId="77777777" w:rsidR="00747278" w:rsidRPr="002A3FB2" w:rsidRDefault="00747278" w:rsidP="00747278">
      <w:pPr>
        <w:rPr>
          <w:rFonts w:ascii="Times New Roman" w:eastAsia="Times New Roman" w:hAnsi="Times New Roman"/>
          <w:lang w:eastAsia="ru-RU"/>
        </w:rPr>
      </w:pPr>
      <w:r w:rsidRPr="002A3FB2">
        <w:rPr>
          <w:rFonts w:ascii="Times New Roman" w:eastAsia="Times New Roman" w:hAnsi="Times New Roman"/>
          <w:b/>
          <w:bCs/>
          <w:shd w:val="clear" w:color="auto" w:fill="FFFFFF"/>
          <w:lang w:eastAsia="ru-RU"/>
        </w:rPr>
        <w:t>К специализированным кредитно-финансовым учреждениям относятся:</w:t>
      </w:r>
    </w:p>
    <w:p w14:paraId="0D76E98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Инвестиционные банки</w:t>
      </w:r>
    </w:p>
    <w:p w14:paraId="25EA0064"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Сберегательные учреждения</w:t>
      </w:r>
    </w:p>
    <w:p w14:paraId="1D1DCB15"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Страховые компании</w:t>
      </w:r>
    </w:p>
    <w:p w14:paraId="1B049470" w14:textId="77777777" w:rsidR="00747278" w:rsidRPr="002A3FB2" w:rsidRDefault="00AF38FA" w:rsidP="00747278">
      <w:pPr>
        <w:numPr>
          <w:ilvl w:val="0"/>
          <w:numId w:val="11"/>
        </w:numPr>
        <w:shd w:val="clear" w:color="auto" w:fill="FFFFFF"/>
        <w:ind w:left="714" w:hanging="357"/>
        <w:jc w:val="both"/>
        <w:rPr>
          <w:rFonts w:ascii="Times New Roman" w:eastAsia="Times New Roman" w:hAnsi="Times New Roman"/>
          <w:lang w:eastAsia="ru-RU"/>
        </w:rPr>
      </w:pPr>
      <w:hyperlink r:id="rId10" w:tooltip="Пенсионный фонд" w:history="1">
        <w:r w:rsidR="00747278" w:rsidRPr="002A3FB2">
          <w:rPr>
            <w:rFonts w:ascii="Times New Roman" w:eastAsia="Times New Roman" w:hAnsi="Times New Roman"/>
            <w:lang w:eastAsia="ru-RU"/>
          </w:rPr>
          <w:t>Пенсионные фонды</w:t>
        </w:r>
      </w:hyperlink>
    </w:p>
    <w:p w14:paraId="19BF3BD2"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Инвестиционные компании</w:t>
      </w:r>
    </w:p>
    <w:p w14:paraId="5866A46E"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Инвестиционные банки</w:t>
      </w:r>
      <w:r w:rsidRPr="002A3FB2">
        <w:rPr>
          <w:rFonts w:ascii="Times New Roman" w:eastAsia="Times New Roman" w:hAnsi="Times New Roman"/>
          <w:color w:val="000000"/>
          <w:lang w:eastAsia="ru-RU"/>
        </w:rPr>
        <w:t> занимаются эмиссионно-учредительской деятельностью, т. е. проводят операции по выпуску и размещению ценных бумаг. Они привлекают капитал путем продажи собственных акций или за счет кредита коммерческих банков.</w:t>
      </w:r>
    </w:p>
    <w:p w14:paraId="74BEF230"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Сберегательные учреждения</w:t>
      </w:r>
      <w:r w:rsidRPr="002A3FB2">
        <w:rPr>
          <w:rFonts w:ascii="Times New Roman" w:eastAsia="Times New Roman" w:hAnsi="Times New Roman"/>
          <w:color w:val="000000"/>
          <w:lang w:eastAsia="ru-RU"/>
        </w:rPr>
        <w:t> (взаимно-сберегательные банки, ссудно-сберегательные ассоциации, кредитные союзы) аккумулируют сбережения населения и вкладывают денежный капитал в основном в финансирование коммерческого и жилищного строительства.</w:t>
      </w:r>
    </w:p>
    <w:p w14:paraId="5C5E20A9"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Страховые компании, </w:t>
      </w:r>
      <w:r w:rsidRPr="002A3FB2">
        <w:rPr>
          <w:rFonts w:ascii="Times New Roman" w:eastAsia="Times New Roman" w:hAnsi="Times New Roman"/>
          <w:color w:val="000000"/>
          <w:lang w:eastAsia="ru-RU"/>
        </w:rPr>
        <w:t>главная функция которых — </w:t>
      </w:r>
      <w:hyperlink r:id="rId11" w:tooltip="Страхование жизни" w:history="1">
        <w:r w:rsidRPr="002A3FB2">
          <w:rPr>
            <w:rFonts w:ascii="Times New Roman" w:eastAsia="Times New Roman" w:hAnsi="Times New Roman"/>
            <w:lang w:eastAsia="ru-RU"/>
          </w:rPr>
          <w:t>страхование жизни</w:t>
        </w:r>
      </w:hyperlink>
      <w:r w:rsidRPr="002A3FB2">
        <w:rPr>
          <w:rFonts w:ascii="Times New Roman" w:eastAsia="Times New Roman" w:hAnsi="Times New Roman"/>
          <w:lang w:eastAsia="ru-RU"/>
        </w:rPr>
        <w:t>, </w:t>
      </w:r>
      <w:hyperlink r:id="rId12" w:tooltip="Страхование имущества" w:history="1">
        <w:r w:rsidRPr="002A3FB2">
          <w:rPr>
            <w:rFonts w:ascii="Times New Roman" w:eastAsia="Times New Roman" w:hAnsi="Times New Roman"/>
            <w:lang w:eastAsia="ru-RU"/>
          </w:rPr>
          <w:t>имущества</w:t>
        </w:r>
      </w:hyperlink>
      <w:r w:rsidRPr="002A3FB2">
        <w:rPr>
          <w:rFonts w:ascii="Times New Roman" w:eastAsia="Times New Roman" w:hAnsi="Times New Roman"/>
          <w:lang w:eastAsia="ru-RU"/>
        </w:rPr>
        <w:t> и </w:t>
      </w:r>
      <w:hyperlink r:id="rId13" w:tooltip="Страхование ответственности" w:history="1">
        <w:r w:rsidRPr="002A3FB2">
          <w:rPr>
            <w:rFonts w:ascii="Times New Roman" w:eastAsia="Times New Roman" w:hAnsi="Times New Roman"/>
            <w:lang w:eastAsia="ru-RU"/>
          </w:rPr>
          <w:t>ответственности</w:t>
        </w:r>
      </w:hyperlink>
      <w:r w:rsidRPr="002A3FB2">
        <w:rPr>
          <w:rFonts w:ascii="Times New Roman" w:eastAsia="Times New Roman" w:hAnsi="Times New Roman"/>
          <w:lang w:eastAsia="ru-RU"/>
        </w:rPr>
        <w:t xml:space="preserve">, </w:t>
      </w:r>
      <w:r w:rsidRPr="002A3FB2">
        <w:rPr>
          <w:rFonts w:ascii="Times New Roman" w:eastAsia="Times New Roman" w:hAnsi="Times New Roman"/>
          <w:color w:val="000000"/>
          <w:lang w:eastAsia="ru-RU"/>
        </w:rPr>
        <w:t>превратились в настоящее время в важнейший канал аккумуляции денежных сбережений населения и долгосрочного финансирования экономики. Основное внимание страховые общества сосредоточили на финансировании крупнейших корпораций в области промышленности, транспорта и торговли.</w:t>
      </w:r>
    </w:p>
    <w:p w14:paraId="2217CBBD"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Пенсионные фонды, </w:t>
      </w:r>
      <w:r w:rsidRPr="002A3FB2">
        <w:rPr>
          <w:rFonts w:ascii="Times New Roman" w:eastAsia="Times New Roman" w:hAnsi="Times New Roman"/>
          <w:color w:val="000000"/>
          <w:lang w:eastAsia="ru-RU"/>
        </w:rPr>
        <w:t>как и страховые компании, активно формирует </w:t>
      </w:r>
      <w:hyperlink r:id="rId14" w:tooltip="Страховой фонд" w:history="1">
        <w:r w:rsidRPr="002A3FB2">
          <w:rPr>
            <w:rFonts w:ascii="Times New Roman" w:eastAsia="Times New Roman" w:hAnsi="Times New Roman"/>
            <w:color w:val="5A3696"/>
            <w:lang w:eastAsia="ru-RU"/>
          </w:rPr>
          <w:t>страховой фонд</w:t>
        </w:r>
      </w:hyperlink>
      <w:r w:rsidRPr="002A3FB2">
        <w:rPr>
          <w:rFonts w:ascii="Times New Roman" w:eastAsia="Times New Roman" w:hAnsi="Times New Roman"/>
          <w:color w:val="000000"/>
          <w:lang w:eastAsia="ru-RU"/>
        </w:rPr>
        <w:t xml:space="preserve"> экономики, который приобретает все большую роль в процессе расширенного воспроизводства. Пенсионные фонды вкладывают свои накопленные денежные резервы в </w:t>
      </w:r>
      <w:r w:rsidRPr="002A3FB2">
        <w:rPr>
          <w:rFonts w:ascii="Times New Roman" w:eastAsia="Times New Roman" w:hAnsi="Times New Roman"/>
          <w:color w:val="000000"/>
          <w:lang w:eastAsia="ru-RU"/>
        </w:rPr>
        <w:lastRenderedPageBreak/>
        <w:t>облигации и акции частных компаний и ценные бумаги государства, осуществляя, таким образом, финансирование, как правило, долгосрочное, экономики и государства.</w:t>
      </w:r>
    </w:p>
    <w:p w14:paraId="05EFCB0F"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b/>
          <w:bCs/>
          <w:color w:val="000000"/>
          <w:lang w:eastAsia="ru-RU"/>
        </w:rPr>
        <w:t>Инвестиционные компании </w:t>
      </w:r>
      <w:r w:rsidRPr="002A3FB2">
        <w:rPr>
          <w:rFonts w:ascii="Times New Roman" w:eastAsia="Times New Roman" w:hAnsi="Times New Roman"/>
          <w:color w:val="000000"/>
          <w:lang w:eastAsia="ru-RU"/>
        </w:rPr>
        <w:t>выполняют роль промежуточного звена между индивидуальным денежным капиталом и корпорациями, функционирующими в нефинансовой сфере. Инвестиционные компании различаются в зависимости от колебаний курсов ценных бумаг. Повышение цены на акции, которыми владеет компания, приводит к росту курса её собственных акций. Основной сферой приложения капитала инвестиционных компаний служат акции корпораций.</w:t>
      </w:r>
    </w:p>
    <w:p w14:paraId="5B4DB72B" w14:textId="77777777" w:rsidR="00747278" w:rsidRPr="002A3FB2" w:rsidRDefault="00747278" w:rsidP="00747278">
      <w:pPr>
        <w:shd w:val="clear" w:color="auto" w:fill="FFFFFF"/>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 современных условиях специализированные кредитно-финансовые институты заняли важнейшее место на рынке ссудных капиталов, превратившись в основной резервуар долгосрочного капитала на денежном рынке, существенно потеснив в этой сфере коммерческие банки. Однако падение удельного веса коммерческих банков в совокупных активах кредитно-финансовых учреждений не означает, что их роль в экономике уменьшилась. Они продолжают осуществлять важнейшие функции банковской системы: депозитно-чековую эмиссию, коммерческий кредит, краткосрочное финансирование и т.д.</w:t>
      </w:r>
    </w:p>
    <w:p w14:paraId="4F78D9B7"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 xml:space="preserve">Небанковские кредитные организации </w:t>
      </w:r>
      <w:r w:rsidRPr="002A3FB2">
        <w:rPr>
          <w:rFonts w:ascii="Times New Roman" w:eastAsia="Times New Roman" w:hAnsi="Times New Roman"/>
          <w:color w:val="000000" w:themeColor="text1"/>
          <w:lang w:eastAsia="ru-RU"/>
        </w:rPr>
        <w:t xml:space="preserve">- это такие кредитные организации, которые имеют право осуществлять отдельные банковские операции, предусмотренные в законодательстве. Сочетание указанных операций устанавливает </w:t>
      </w:r>
      <w:hyperlink r:id="rId15" w:tooltip="ЦБ РФ" w:history="1">
        <w:r w:rsidRPr="002A3FB2">
          <w:rPr>
            <w:rStyle w:val="a9"/>
            <w:rFonts w:ascii="Times New Roman" w:eastAsia="Times New Roman" w:hAnsi="Times New Roman"/>
            <w:color w:val="000000" w:themeColor="text1"/>
            <w:lang w:eastAsia="ru-RU"/>
          </w:rPr>
          <w:t>ЦБ РФ</w:t>
        </w:r>
      </w:hyperlink>
      <w:r w:rsidRPr="002A3FB2">
        <w:rPr>
          <w:rFonts w:ascii="Times New Roman" w:eastAsia="Times New Roman" w:hAnsi="Times New Roman"/>
          <w:color w:val="000000" w:themeColor="text1"/>
          <w:lang w:eastAsia="ru-RU"/>
        </w:rPr>
        <w:t>.</w:t>
      </w:r>
    </w:p>
    <w:p w14:paraId="6A452D4D"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Кроме банков и иных кредитных организаций, Федеральным законом «О банках и банковской деятельности» предусматривается функционирование:</w:t>
      </w:r>
    </w:p>
    <w:p w14:paraId="7AE7CB6B"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1. </w:t>
      </w:r>
      <w:r>
        <w:rPr>
          <w:rFonts w:ascii="Times New Roman" w:eastAsia="Times New Roman" w:hAnsi="Times New Roman"/>
          <w:b/>
          <w:bCs/>
          <w:color w:val="000000" w:themeColor="text1"/>
          <w:lang w:eastAsia="ru-RU"/>
        </w:rPr>
        <w:t>С</w:t>
      </w:r>
      <w:r w:rsidRPr="002A3FB2">
        <w:rPr>
          <w:rFonts w:ascii="Times New Roman" w:eastAsia="Times New Roman" w:hAnsi="Times New Roman"/>
          <w:b/>
          <w:bCs/>
          <w:color w:val="000000" w:themeColor="text1"/>
          <w:lang w:eastAsia="ru-RU"/>
        </w:rPr>
        <w:t>оюзов и ассоциаций</w:t>
      </w:r>
      <w:r w:rsidRPr="002A3FB2">
        <w:rPr>
          <w:rFonts w:ascii="Times New Roman" w:eastAsia="Times New Roman" w:hAnsi="Times New Roman"/>
          <w:color w:val="000000" w:themeColor="text1"/>
          <w:lang w:eastAsia="ru-RU"/>
        </w:rPr>
        <w:t xml:space="preserve"> кредитных организаций, которые не преследуют цели извлечения прибыли, а создаются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информационных и профессиональных интересов. Им запрещается осуществление банковских операций. </w:t>
      </w:r>
    </w:p>
    <w:p w14:paraId="2973D004"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2. </w:t>
      </w:r>
      <w:r>
        <w:rPr>
          <w:rFonts w:ascii="Times New Roman" w:eastAsia="Times New Roman" w:hAnsi="Times New Roman"/>
          <w:color w:val="000000" w:themeColor="text1"/>
          <w:lang w:eastAsia="ru-RU"/>
        </w:rPr>
        <w:t>Г</w:t>
      </w:r>
      <w:r w:rsidRPr="002A3FB2">
        <w:rPr>
          <w:rFonts w:ascii="Times New Roman" w:eastAsia="Times New Roman" w:hAnsi="Times New Roman"/>
          <w:b/>
          <w:bCs/>
          <w:color w:val="000000" w:themeColor="text1"/>
          <w:lang w:eastAsia="ru-RU"/>
        </w:rPr>
        <w:t>рупп кредитных организации,</w:t>
      </w:r>
      <w:r w:rsidRPr="002A3FB2">
        <w:rPr>
          <w:rFonts w:ascii="Times New Roman" w:eastAsia="Times New Roman" w:hAnsi="Times New Roman"/>
          <w:color w:val="000000" w:themeColor="text1"/>
          <w:lang w:eastAsia="ru-RU"/>
        </w:rPr>
        <w:t xml:space="preserve"> создаваемых для решения совместных задач (совместного осуществления банковских операций) путем заключения соответствующего договора между двумя или несколькими кредитными организациями. </w:t>
      </w:r>
    </w:p>
    <w:p w14:paraId="4C9126D9" w14:textId="7473E661" w:rsidR="00747278" w:rsidRPr="00D93500" w:rsidRDefault="00747278" w:rsidP="00D93500">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3. </w:t>
      </w:r>
      <w:r>
        <w:rPr>
          <w:rFonts w:ascii="Times New Roman" w:eastAsia="Times New Roman" w:hAnsi="Times New Roman"/>
          <w:color w:val="000000" w:themeColor="text1"/>
          <w:lang w:eastAsia="ru-RU"/>
        </w:rPr>
        <w:t>Б</w:t>
      </w:r>
      <w:r w:rsidRPr="002A3FB2">
        <w:rPr>
          <w:rFonts w:ascii="Times New Roman" w:eastAsia="Times New Roman" w:hAnsi="Times New Roman"/>
          <w:b/>
          <w:bCs/>
          <w:color w:val="000000" w:themeColor="text1"/>
          <w:lang w:eastAsia="ru-RU"/>
        </w:rPr>
        <w:t>анковских холдингов</w:t>
      </w:r>
      <w:r w:rsidRPr="002A3FB2">
        <w:rPr>
          <w:rFonts w:ascii="Times New Roman" w:eastAsia="Times New Roman" w:hAnsi="Times New Roman"/>
          <w:color w:val="000000" w:themeColor="text1"/>
          <w:lang w:eastAsia="ru-RU"/>
        </w:rPr>
        <w:t>, представляющих собой объединение юридических лиц с участием кредитной организации (кредитных организаций), в котором юридическое лицо, не являющееся кредитной организацией (головная организация банковского холдинга), имеет возможность прямо или косвенно (через третье лицо) оказывать существенное влияние на решения, принимаемые органами управления кредитной органи</w:t>
      </w:r>
      <w:r w:rsidR="00D93500">
        <w:rPr>
          <w:rFonts w:ascii="Times New Roman" w:eastAsia="Times New Roman" w:hAnsi="Times New Roman"/>
          <w:color w:val="000000" w:themeColor="text1"/>
          <w:lang w:eastAsia="ru-RU"/>
        </w:rPr>
        <w:t xml:space="preserve">зации (кредитных организаций). </w:t>
      </w:r>
    </w:p>
    <w:p w14:paraId="262BFB70" w14:textId="21FF6585" w:rsidR="00137A12" w:rsidRDefault="001916F3" w:rsidP="00C84F1A">
      <w:pPr>
        <w:pStyle w:val="21"/>
      </w:pPr>
      <w:bookmarkStart w:id="3" w:name="_Toc96346480"/>
      <w:r>
        <w:t>6</w:t>
      </w:r>
      <w:r w:rsidR="00137A12" w:rsidRPr="00137A12">
        <w:t>.2. Функции банков в экономике. Роль Центрального Банка в экономике.  Классификацию банковских   операций</w:t>
      </w:r>
      <w:bookmarkEnd w:id="3"/>
    </w:p>
    <w:p w14:paraId="3745876A" w14:textId="0168C70D" w:rsidR="00747278" w:rsidRDefault="00747278" w:rsidP="00747278"/>
    <w:p w14:paraId="0B931F32"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Центральный банк России</w:t>
      </w:r>
      <w:r w:rsidRPr="002A3FB2">
        <w:rPr>
          <w:rFonts w:ascii="Times New Roman" w:eastAsia="Times New Roman" w:hAnsi="Times New Roman"/>
          <w:color w:val="000000" w:themeColor="text1"/>
          <w:lang w:eastAsia="ru-RU"/>
        </w:rPr>
        <w:t xml:space="preserve"> — главный банк страны. Его статус регулируется Конституцией РФ, федеральным законом № 86-ФЗ от 10 июля 2002 г. «О Центральном банке РФ (Банке России)», федеральным законом от 2 декабря 1990 г. «О банках и банковской деятельности» и другими федеральными законами.</w:t>
      </w:r>
    </w:p>
    <w:p w14:paraId="26207308"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Функции и полномочия, предусмотренные Конституцией Российской Федерации и федеральным законом «</w:t>
      </w:r>
      <w:r w:rsidRPr="002A3FB2">
        <w:rPr>
          <w:rFonts w:ascii="Times New Roman" w:eastAsia="Times New Roman" w:hAnsi="Times New Roman"/>
          <w:b/>
          <w:bCs/>
          <w:color w:val="000000" w:themeColor="text1"/>
          <w:lang w:eastAsia="ru-RU"/>
        </w:rPr>
        <w:t>О Центральном банке Российской Федерации (Банке России)</w:t>
      </w:r>
      <w:r w:rsidRPr="002A3FB2">
        <w:rPr>
          <w:rFonts w:ascii="Times New Roman" w:eastAsia="Times New Roman" w:hAnsi="Times New Roman"/>
          <w:color w:val="000000" w:themeColor="text1"/>
          <w:lang w:eastAsia="ru-RU"/>
        </w:rPr>
        <w:t>», Банк России осуществляет независимо от других федеральных органов государственной власти, органов государственной власти субъектов Российской Федерации и органов местного самоуправления.</w:t>
      </w:r>
    </w:p>
    <w:p w14:paraId="45E9BC08"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Цели деятельности Банка России:</w:t>
      </w:r>
    </w:p>
    <w:p w14:paraId="32DF50FE"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защита и обеспечение устойчивости рубля;</w:t>
      </w:r>
    </w:p>
    <w:p w14:paraId="3C32E668"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развитие и укрепление банковской системы России;</w:t>
      </w:r>
    </w:p>
    <w:p w14:paraId="07BDFE39"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lastRenderedPageBreak/>
        <w:t>обеспечение эффективного и бесперебойного функционирования платежной системы.</w:t>
      </w:r>
    </w:p>
    <w:p w14:paraId="21709C30" w14:textId="77777777" w:rsidR="00D93500" w:rsidRDefault="00D93500" w:rsidP="00747278">
      <w:pPr>
        <w:shd w:val="clear" w:color="auto" w:fill="FFFFFF"/>
        <w:textAlignment w:val="top"/>
        <w:rPr>
          <w:rFonts w:ascii="Times New Roman" w:eastAsia="Times New Roman" w:hAnsi="Times New Roman"/>
          <w:b/>
          <w:bCs/>
          <w:color w:val="000000" w:themeColor="text1"/>
          <w:lang w:eastAsia="ru-RU"/>
        </w:rPr>
      </w:pPr>
    </w:p>
    <w:p w14:paraId="1ECE8D67" w14:textId="1D5A04A3"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Правовой статус Банка России (ЦБ РФ):</w:t>
      </w:r>
    </w:p>
    <w:p w14:paraId="751360D6"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Банк России является </w:t>
      </w:r>
      <w:hyperlink r:id="rId16" w:tooltip="Юридическое лицо" w:history="1">
        <w:r w:rsidRPr="002A3FB2">
          <w:rPr>
            <w:rFonts w:ascii="Times New Roman" w:hAnsi="Times New Roman"/>
            <w:color w:val="000000"/>
          </w:rPr>
          <w:t>юридическим лицом</w:t>
        </w:r>
      </w:hyperlink>
      <w:r w:rsidRPr="002A3FB2">
        <w:rPr>
          <w:rFonts w:ascii="Times New Roman" w:eastAsia="Times New Roman" w:hAnsi="Times New Roman"/>
          <w:color w:val="000000"/>
          <w:lang w:eastAsia="ru-RU"/>
        </w:rPr>
        <w:t>.</w:t>
      </w:r>
    </w:p>
    <w:p w14:paraId="0376E955"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Функционирует на основе принципа независимости, т.е. не входит в структуру федеральных органов государственной власти.</w:t>
      </w:r>
    </w:p>
    <w:p w14:paraId="03E21176"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ЦБ РФ — особый институт, обладающий исключительным правом денежной эмиссии и организации денежного обращения.</w:t>
      </w:r>
    </w:p>
    <w:p w14:paraId="12C49C75"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Уставный капитал и иное имущество Банка России являются федеральной собственностью.</w:t>
      </w:r>
    </w:p>
    <w:p w14:paraId="1BB2FE03"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Банк России обладает финансовой независимостью, т.е. осуществляет свои расходы за счет собственных доходов и не регистрируется в налоговых органах.</w:t>
      </w:r>
    </w:p>
    <w:p w14:paraId="3CC773D6"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Государство не отвечает по обязательствам Банка России, а Банк России — по обязательствам государства, если они не приняли на себя таких обязательств.</w:t>
      </w:r>
    </w:p>
    <w:p w14:paraId="4AB39BCD"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Банк России подотчетен Государственной Думе Федерального Собрания РФ. Органы власти всех уровней не имеют права вмешиваться в деятельность ЦБ РФ.</w:t>
      </w:r>
    </w:p>
    <w:p w14:paraId="676CF71D"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Кроме того, Банк России осуществляет свои расходы за счет собственных доходов.</w:t>
      </w:r>
    </w:p>
    <w:p w14:paraId="5A510619"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 xml:space="preserve">Получение прибыли </w:t>
      </w:r>
      <w:r w:rsidRPr="002A3FB2">
        <w:rPr>
          <w:rFonts w:ascii="Times New Roman" w:eastAsia="Times New Roman" w:hAnsi="Times New Roman"/>
          <w:b/>
          <w:bCs/>
          <w:color w:val="000000" w:themeColor="text1"/>
          <w:u w:val="single"/>
          <w:lang w:eastAsia="ru-RU"/>
        </w:rPr>
        <w:t>не</w:t>
      </w:r>
      <w:r w:rsidRPr="002A3FB2">
        <w:rPr>
          <w:rFonts w:ascii="Times New Roman" w:eastAsia="Times New Roman" w:hAnsi="Times New Roman"/>
          <w:b/>
          <w:bCs/>
          <w:color w:val="000000" w:themeColor="text1"/>
          <w:lang w:eastAsia="ru-RU"/>
        </w:rPr>
        <w:t xml:space="preserve"> является целью деятельности Банка России</w:t>
      </w:r>
      <w:r w:rsidRPr="002A3FB2">
        <w:rPr>
          <w:rFonts w:ascii="Times New Roman" w:eastAsia="Times New Roman" w:hAnsi="Times New Roman"/>
          <w:color w:val="000000" w:themeColor="text1"/>
          <w:lang w:eastAsia="ru-RU"/>
        </w:rPr>
        <w:t>.</w:t>
      </w:r>
      <w:r w:rsidRPr="002A3FB2">
        <w:rPr>
          <w:rFonts w:ascii="Times New Roman" w:eastAsia="Times New Roman" w:hAnsi="Times New Roman"/>
          <w:b/>
          <w:bCs/>
          <w:color w:val="000000" w:themeColor="text1"/>
          <w:lang w:eastAsia="ru-RU"/>
        </w:rPr>
        <w:t xml:space="preserve"> Прибыль Банка России</w:t>
      </w:r>
      <w:r w:rsidRPr="002A3FB2">
        <w:rPr>
          <w:rFonts w:ascii="Times New Roman" w:eastAsia="Times New Roman" w:hAnsi="Times New Roman"/>
          <w:color w:val="000000" w:themeColor="text1"/>
          <w:lang w:eastAsia="ru-RU"/>
        </w:rPr>
        <w:t xml:space="preserve"> определяется, как разница между суммой доходов от предусмотренных ст. 46 федерального закона «О ЦБ РФ» банковских операций и </w:t>
      </w:r>
      <w:proofErr w:type="gramStart"/>
      <w:r w:rsidRPr="002A3FB2">
        <w:rPr>
          <w:rFonts w:ascii="Times New Roman" w:eastAsia="Times New Roman" w:hAnsi="Times New Roman"/>
          <w:color w:val="000000" w:themeColor="text1"/>
          <w:lang w:eastAsia="ru-RU"/>
        </w:rPr>
        <w:t>сделок</w:t>
      </w:r>
      <w:proofErr w:type="gramEnd"/>
      <w:r w:rsidRPr="002A3FB2">
        <w:rPr>
          <w:rFonts w:ascii="Times New Roman" w:eastAsia="Times New Roman" w:hAnsi="Times New Roman"/>
          <w:color w:val="000000" w:themeColor="text1"/>
          <w:lang w:eastAsia="ru-RU"/>
        </w:rPr>
        <w:t xml:space="preserve"> и доходов от участия в капиталах кредитных организаций и расходами, связанными с осуществлением банком России своих функций, установленных ст. 4 настоящего федерального закона. </w:t>
      </w:r>
    </w:p>
    <w:p w14:paraId="7163E2DE"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ЦБ </w:t>
      </w:r>
      <w:r w:rsidRPr="002A3FB2">
        <w:rPr>
          <w:rFonts w:ascii="Times New Roman" w:eastAsia="Times New Roman" w:hAnsi="Times New Roman"/>
          <w:b/>
          <w:bCs/>
          <w:color w:val="000000" w:themeColor="text1"/>
          <w:lang w:eastAsia="ru-RU"/>
        </w:rPr>
        <w:t>не вправе участвовать в капиталах или являться членом иных коммерческих или некоммерческих организаций</w:t>
      </w:r>
      <w:r w:rsidRPr="002A3FB2">
        <w:rPr>
          <w:rFonts w:ascii="Times New Roman" w:eastAsia="Times New Roman" w:hAnsi="Times New Roman"/>
          <w:color w:val="000000" w:themeColor="text1"/>
          <w:lang w:eastAsia="ru-RU"/>
        </w:rPr>
        <w:t>, если они не обеспечивают деятельность ЦБ, его учреждений, организаций и служащих, за исключением случаев, установленных федеральными законами.</w:t>
      </w:r>
    </w:p>
    <w:p w14:paraId="20034D2C"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Банк России может</w:t>
      </w:r>
      <w:r w:rsidRPr="002A3FB2">
        <w:rPr>
          <w:rFonts w:ascii="Times New Roman" w:eastAsia="Times New Roman" w:hAnsi="Times New Roman"/>
          <w:b/>
          <w:bCs/>
          <w:color w:val="000000" w:themeColor="text1"/>
          <w:lang w:eastAsia="ru-RU"/>
        </w:rPr>
        <w:t xml:space="preserve"> участвовать в капиталах и деятельности международных организаций</w:t>
      </w:r>
      <w:r w:rsidRPr="002A3FB2">
        <w:rPr>
          <w:rFonts w:ascii="Times New Roman" w:eastAsia="Times New Roman" w:hAnsi="Times New Roman"/>
          <w:color w:val="000000" w:themeColor="text1"/>
          <w:lang w:eastAsia="ru-RU"/>
        </w:rPr>
        <w:t>, которые занимаются развитием сотрудничества в денежно-кредитной, валютной, банковской сферах, в том числе между центральными банками иностранных государств.</w:t>
      </w:r>
    </w:p>
    <w:p w14:paraId="39B44177"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Взаимоотношения</w:t>
      </w:r>
      <w:r w:rsidRPr="002A3FB2">
        <w:rPr>
          <w:rFonts w:ascii="Times New Roman" w:eastAsia="Times New Roman" w:hAnsi="Times New Roman"/>
          <w:color w:val="000000" w:themeColor="text1"/>
          <w:lang w:eastAsia="ru-RU"/>
        </w:rPr>
        <w:t xml:space="preserve"> Центрального банка </w:t>
      </w:r>
      <w:r w:rsidRPr="002A3FB2">
        <w:rPr>
          <w:rFonts w:ascii="Times New Roman" w:eastAsia="Times New Roman" w:hAnsi="Times New Roman"/>
          <w:b/>
          <w:bCs/>
          <w:color w:val="000000" w:themeColor="text1"/>
          <w:lang w:eastAsia="ru-RU"/>
        </w:rPr>
        <w:t>с кредитными организациями иностранных государств</w:t>
      </w:r>
      <w:r w:rsidRPr="002A3FB2">
        <w:rPr>
          <w:rFonts w:ascii="Times New Roman" w:eastAsia="Times New Roman" w:hAnsi="Times New Roman"/>
          <w:color w:val="000000" w:themeColor="text1"/>
          <w:lang w:eastAsia="ru-RU"/>
        </w:rPr>
        <w:t xml:space="preserve"> осуществляются в соответствии с международными договорами Российской Федерации, федеральными законами, а также с межбанковскими соглашениями.</w:t>
      </w:r>
    </w:p>
    <w:p w14:paraId="534039B6"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Банк России имеет </w:t>
      </w:r>
      <w:r w:rsidRPr="002A3FB2">
        <w:rPr>
          <w:rFonts w:ascii="Times New Roman" w:eastAsia="Times New Roman" w:hAnsi="Times New Roman"/>
          <w:b/>
          <w:bCs/>
          <w:color w:val="000000" w:themeColor="text1"/>
          <w:lang w:eastAsia="ru-RU"/>
        </w:rPr>
        <w:t>уставный капитал</w:t>
      </w:r>
      <w:r w:rsidRPr="002A3FB2">
        <w:rPr>
          <w:rFonts w:ascii="Times New Roman" w:eastAsia="Times New Roman" w:hAnsi="Times New Roman"/>
          <w:color w:val="000000" w:themeColor="text1"/>
          <w:lang w:eastAsia="ru-RU"/>
        </w:rPr>
        <w:t xml:space="preserve"> в размере 3 млрд. рублей.</w:t>
      </w:r>
    </w:p>
    <w:p w14:paraId="61F2DFE5" w14:textId="77777777" w:rsidR="00747278" w:rsidRPr="002A3FB2" w:rsidRDefault="00747278" w:rsidP="00747278">
      <w:pPr>
        <w:rPr>
          <w:rFonts w:ascii="Times New Roman" w:eastAsia="Times New Roman" w:hAnsi="Times New Roman"/>
          <w:lang w:eastAsia="ru-RU"/>
        </w:rPr>
      </w:pPr>
      <w:r w:rsidRPr="002A3FB2">
        <w:rPr>
          <w:rFonts w:ascii="Times New Roman" w:eastAsia="Times New Roman" w:hAnsi="Times New Roman"/>
          <w:b/>
          <w:bCs/>
          <w:lang w:eastAsia="ru-RU"/>
        </w:rPr>
        <w:t>Организационная структура Банка России</w:t>
      </w:r>
    </w:p>
    <w:p w14:paraId="3D8439CB" w14:textId="77777777" w:rsidR="00747278" w:rsidRDefault="00747278" w:rsidP="00747278">
      <w:pPr>
        <w:rPr>
          <w:rFonts w:ascii="Times New Roman" w:eastAsia="Times New Roman" w:hAnsi="Times New Roman"/>
          <w:lang w:eastAsia="ru-RU"/>
        </w:rPr>
      </w:pPr>
      <w:r w:rsidRPr="002A3FB2">
        <w:rPr>
          <w:rFonts w:ascii="Times New Roman" w:eastAsia="Times New Roman" w:hAnsi="Times New Roman"/>
          <w:lang w:eastAsia="ru-RU"/>
        </w:rPr>
        <w:t>Банк России образует единую централизованную систему с вертикальной структурой управления.</w:t>
      </w:r>
      <w:r w:rsidRPr="002A3FB2">
        <w:rPr>
          <w:rFonts w:ascii="Times New Roman" w:eastAsia="Times New Roman" w:hAnsi="Times New Roman"/>
          <w:lang w:eastAsia="ru-RU"/>
        </w:rPr>
        <w:br/>
        <w:t>В систему Банка России входят центральный аппарат, территориальные учреждения, расчетно-кассовые центры, вычислительные центры, полевые учреждения, учебные заведения и другие предприятия, учреждения и организации, в том числе подразделения безопасности и Российское объединение инкассации, необходимые для осуществления деятельности банка.</w:t>
      </w:r>
    </w:p>
    <w:p w14:paraId="2D9055EA" w14:textId="77777777" w:rsidR="00D93500" w:rsidRDefault="00D93500" w:rsidP="00747278">
      <w:pPr>
        <w:rPr>
          <w:rFonts w:ascii="Times New Roman" w:eastAsia="Times New Roman" w:hAnsi="Times New Roman"/>
          <w:b/>
          <w:bCs/>
          <w:i/>
          <w:iCs/>
          <w:lang w:eastAsia="ru-RU"/>
        </w:rPr>
      </w:pPr>
    </w:p>
    <w:p w14:paraId="14AA0647" w14:textId="78248F09" w:rsidR="00747278" w:rsidRPr="002A3FB2" w:rsidRDefault="00747278" w:rsidP="00747278">
      <w:pPr>
        <w:rPr>
          <w:rFonts w:ascii="Times New Roman" w:eastAsia="Times New Roman" w:hAnsi="Times New Roman"/>
          <w:b/>
          <w:bCs/>
          <w:color w:val="000000" w:themeColor="text1"/>
          <w:lang w:eastAsia="ru-RU"/>
        </w:rPr>
      </w:pPr>
      <w:r w:rsidRPr="002A3FB2">
        <w:rPr>
          <w:rFonts w:ascii="Times New Roman" w:eastAsia="Times New Roman" w:hAnsi="Times New Roman"/>
          <w:b/>
          <w:bCs/>
          <w:i/>
          <w:iCs/>
          <w:lang w:eastAsia="ru-RU"/>
        </w:rPr>
        <w:t>Органы управления Банком России</w:t>
      </w:r>
      <w:r w:rsidRPr="002A3FB2">
        <w:rPr>
          <w:rFonts w:ascii="Times New Roman" w:eastAsia="Times New Roman" w:hAnsi="Times New Roman"/>
          <w:lang w:eastAsia="ru-RU"/>
        </w:rPr>
        <w:br/>
      </w:r>
      <w:r w:rsidRPr="002A3FB2">
        <w:rPr>
          <w:rFonts w:ascii="Times New Roman" w:eastAsia="Times New Roman" w:hAnsi="Times New Roman"/>
          <w:b/>
          <w:bCs/>
          <w:color w:val="000000" w:themeColor="text1"/>
          <w:lang w:eastAsia="ru-RU"/>
        </w:rPr>
        <w:t>Национальный банковский совет</w:t>
      </w:r>
      <w:r w:rsidRPr="002A3FB2">
        <w:rPr>
          <w:rFonts w:ascii="Times New Roman" w:eastAsia="Times New Roman" w:hAnsi="Times New Roman"/>
          <w:color w:val="000000" w:themeColor="text1"/>
          <w:lang w:eastAsia="ru-RU"/>
        </w:rPr>
        <w:t xml:space="preserve"> — коллегиальный орган Центрального </w:t>
      </w:r>
      <w:proofErr w:type="spellStart"/>
      <w:r w:rsidRPr="002A3FB2">
        <w:rPr>
          <w:rFonts w:ascii="Times New Roman" w:eastAsia="Times New Roman" w:hAnsi="Times New Roman"/>
          <w:color w:val="000000" w:themeColor="text1"/>
          <w:lang w:eastAsia="ru-RU"/>
        </w:rPr>
        <w:t>банка.Численность</w:t>
      </w:r>
      <w:proofErr w:type="spellEnd"/>
      <w:r w:rsidRPr="002A3FB2">
        <w:rPr>
          <w:rFonts w:ascii="Times New Roman" w:eastAsia="Times New Roman" w:hAnsi="Times New Roman"/>
          <w:color w:val="000000" w:themeColor="text1"/>
          <w:lang w:eastAsia="ru-RU"/>
        </w:rPr>
        <w:t xml:space="preserve"> Национального банковского совета составляет 12 человек, из которых двое направляются Советом Федерации Федерального собрания РФ из числа членов Совета Федерации, трое — Государственной думой из числа депутатов Государственной думы, трое — Президентом РФ, трое — Правительством РФ. В состав Национального банковского совета входит также Председатель Банка России.</w:t>
      </w:r>
    </w:p>
    <w:p w14:paraId="59BF89FD" w14:textId="77777777" w:rsidR="00747278" w:rsidRPr="002A3FB2" w:rsidRDefault="00747278" w:rsidP="00747278">
      <w:pPr>
        <w:rPr>
          <w:rFonts w:ascii="Times New Roman" w:eastAsia="Times New Roman" w:hAnsi="Times New Roman"/>
          <w:b/>
          <w:bCs/>
          <w:color w:val="000000" w:themeColor="text1"/>
          <w:lang w:eastAsia="ru-RU"/>
        </w:rPr>
      </w:pPr>
      <w:r w:rsidRPr="002A3FB2">
        <w:rPr>
          <w:rFonts w:ascii="Times New Roman" w:eastAsia="Times New Roman" w:hAnsi="Times New Roman"/>
          <w:b/>
          <w:bCs/>
          <w:color w:val="000000" w:themeColor="text1"/>
          <w:lang w:eastAsia="ru-RU"/>
        </w:rPr>
        <w:lastRenderedPageBreak/>
        <w:t>Председатель Национального банковского совета</w:t>
      </w:r>
      <w:r w:rsidRPr="002A3FB2">
        <w:rPr>
          <w:rFonts w:ascii="Times New Roman" w:eastAsia="Times New Roman" w:hAnsi="Times New Roman"/>
          <w:color w:val="000000" w:themeColor="text1"/>
          <w:lang w:eastAsia="ru-RU"/>
        </w:rPr>
        <w:t xml:space="preserve"> избирается членами Национального банковского совета из их числа большинством голосов от общего числа членов Национального банковского </w:t>
      </w:r>
      <w:proofErr w:type="spellStart"/>
      <w:proofErr w:type="gramStart"/>
      <w:r w:rsidRPr="002A3FB2">
        <w:rPr>
          <w:rFonts w:ascii="Times New Roman" w:eastAsia="Times New Roman" w:hAnsi="Times New Roman"/>
          <w:color w:val="000000" w:themeColor="text1"/>
          <w:lang w:eastAsia="ru-RU"/>
        </w:rPr>
        <w:t>совета.Председатель</w:t>
      </w:r>
      <w:proofErr w:type="spellEnd"/>
      <w:proofErr w:type="gramEnd"/>
      <w:r w:rsidRPr="002A3FB2">
        <w:rPr>
          <w:rFonts w:ascii="Times New Roman" w:eastAsia="Times New Roman" w:hAnsi="Times New Roman"/>
          <w:color w:val="000000" w:themeColor="text1"/>
          <w:lang w:eastAsia="ru-RU"/>
        </w:rPr>
        <w:t xml:space="preserve"> Национального банковского совета осуществляет общее руководство его деятельностью, председательствует на его заседаниях. В случае отсутствия Председателя Национального банковского совета его функции выполняет заместитель, избираемый из числа членов Национального банковского совета большинством голосов от общего числа членов Национального банковского совета.</w:t>
      </w:r>
    </w:p>
    <w:p w14:paraId="241D9198"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Председатель Центрального банка</w:t>
      </w:r>
      <w:r w:rsidRPr="002A3FB2">
        <w:rPr>
          <w:rFonts w:ascii="Times New Roman" w:eastAsia="Times New Roman" w:hAnsi="Times New Roman"/>
          <w:color w:val="000000" w:themeColor="text1"/>
          <w:lang w:eastAsia="ru-RU"/>
        </w:rPr>
        <w:t xml:space="preserve"> назначается на должность Государственной думой сроком на четыре года большинством голосов от общего числа депутатов Государственной думы.</w:t>
      </w:r>
    </w:p>
    <w:p w14:paraId="1D67302A"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В Совет директоров входят </w:t>
      </w:r>
      <w:r w:rsidRPr="002A3FB2">
        <w:rPr>
          <w:rFonts w:ascii="Times New Roman" w:eastAsia="Times New Roman" w:hAnsi="Times New Roman"/>
          <w:b/>
          <w:bCs/>
          <w:color w:val="000000" w:themeColor="text1"/>
          <w:lang w:eastAsia="ru-RU"/>
        </w:rPr>
        <w:t>Председатель Банка России и 12 членов Совета директоров</w:t>
      </w:r>
      <w:r w:rsidRPr="002A3FB2">
        <w:rPr>
          <w:rFonts w:ascii="Times New Roman" w:eastAsia="Times New Roman" w:hAnsi="Times New Roman"/>
          <w:color w:val="000000" w:themeColor="text1"/>
          <w:lang w:eastAsia="ru-RU"/>
        </w:rPr>
        <w:t>.</w:t>
      </w:r>
    </w:p>
    <w:p w14:paraId="1AAF7ABA" w14:textId="77777777" w:rsidR="00747278" w:rsidRPr="002A3FB2" w:rsidRDefault="00747278" w:rsidP="00747278">
      <w:pPr>
        <w:shd w:val="clear" w:color="auto" w:fill="FFFFFF"/>
        <w:textAlignment w:val="top"/>
        <w:rPr>
          <w:rFonts w:ascii="Times New Roman" w:eastAsia="Times New Roman" w:hAnsi="Times New Roman"/>
          <w:b/>
          <w:bCs/>
          <w:color w:val="000000" w:themeColor="text1"/>
          <w:lang w:eastAsia="ru-RU"/>
        </w:rPr>
      </w:pPr>
      <w:r w:rsidRPr="002A3FB2">
        <w:rPr>
          <w:rFonts w:ascii="Times New Roman" w:eastAsia="Times New Roman" w:hAnsi="Times New Roman"/>
          <w:b/>
          <w:bCs/>
          <w:color w:val="000000" w:themeColor="text1"/>
          <w:lang w:eastAsia="ru-RU"/>
        </w:rPr>
        <w:t>Совет директоров выполняет следующие функции:</w:t>
      </w:r>
    </w:p>
    <w:p w14:paraId="5903DF46"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разрабатывает проект основных направлений единой государственной денежно-кредитной политики;</w:t>
      </w:r>
    </w:p>
    <w:p w14:paraId="049978FE"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утверждает годовую финансовую отчетность Центрального банка России;</w:t>
      </w:r>
    </w:p>
    <w:p w14:paraId="0EC365B8"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утверждает отчет о деятельности Центрального банка России и готовит анализ состояния экономики РФ;</w:t>
      </w:r>
    </w:p>
    <w:p w14:paraId="7921F538"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утверждает смету расходов Центрального банка;</w:t>
      </w:r>
    </w:p>
    <w:p w14:paraId="26C95A15"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утверждает структуру Банка России;</w:t>
      </w:r>
    </w:p>
    <w:p w14:paraId="1591B179"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определяет условия допуска иностранного капитала в банковскую систему РФ;</w:t>
      </w:r>
    </w:p>
    <w:p w14:paraId="11521A45"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устанавливает правила проведения банковских операций и правила бухгалтерского учета и отчетности для банковской системы РФ</w:t>
      </w:r>
    </w:p>
    <w:p w14:paraId="5687EAF9" w14:textId="77777777" w:rsidR="00D93500" w:rsidRDefault="00D93500" w:rsidP="00747278">
      <w:pPr>
        <w:shd w:val="clear" w:color="auto" w:fill="FFFFFF"/>
        <w:textAlignment w:val="top"/>
        <w:rPr>
          <w:rFonts w:ascii="Times New Roman" w:eastAsia="Times New Roman" w:hAnsi="Times New Roman"/>
          <w:b/>
          <w:bCs/>
          <w:color w:val="000000" w:themeColor="text1"/>
          <w:lang w:eastAsia="ru-RU"/>
        </w:rPr>
      </w:pPr>
    </w:p>
    <w:p w14:paraId="15C67C18" w14:textId="153CBF69"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Основные функции центрального банка:</w:t>
      </w:r>
    </w:p>
    <w:p w14:paraId="7A9372F1"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 xml:space="preserve">1. Эмиссия денег </w:t>
      </w:r>
      <w:r w:rsidRPr="002A3FB2">
        <w:rPr>
          <w:rFonts w:ascii="Times New Roman" w:eastAsia="Times New Roman" w:hAnsi="Times New Roman"/>
          <w:color w:val="000000" w:themeColor="text1"/>
          <w:lang w:eastAsia="ru-RU"/>
        </w:rPr>
        <w:t>состоит в том, что центральный банк осуществляет монопольное право выпуска неразменных кредитных денег.</w:t>
      </w:r>
    </w:p>
    <w:p w14:paraId="05AD79AC"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 xml:space="preserve">2. Осуществление национальной </w:t>
      </w:r>
      <w:hyperlink r:id="rId17" w:tooltip="Денежно-кредитная политика" w:history="1">
        <w:r w:rsidRPr="002A3FB2">
          <w:rPr>
            <w:rStyle w:val="a9"/>
            <w:rFonts w:ascii="Times New Roman" w:eastAsia="Times New Roman" w:hAnsi="Times New Roman"/>
            <w:b/>
            <w:bCs/>
            <w:color w:val="000000" w:themeColor="text1"/>
            <w:lang w:eastAsia="ru-RU"/>
          </w:rPr>
          <w:t>денежно-кредитной политики</w:t>
        </w:r>
      </w:hyperlink>
    </w:p>
    <w:p w14:paraId="6B21612C" w14:textId="77777777" w:rsidR="00747278" w:rsidRPr="002A3FB2" w:rsidRDefault="00AF38FA" w:rsidP="00747278">
      <w:pPr>
        <w:shd w:val="clear" w:color="auto" w:fill="FFFFFF"/>
        <w:textAlignment w:val="top"/>
        <w:rPr>
          <w:rFonts w:ascii="Times New Roman" w:eastAsia="Times New Roman" w:hAnsi="Times New Roman"/>
          <w:color w:val="000000" w:themeColor="text1"/>
          <w:lang w:eastAsia="ru-RU"/>
        </w:rPr>
      </w:pPr>
      <w:hyperlink r:id="rId18" w:tooltip="Денежно-кредитная политика" w:history="1">
        <w:r w:rsidR="00747278" w:rsidRPr="002A3FB2">
          <w:rPr>
            <w:rStyle w:val="a9"/>
            <w:rFonts w:ascii="Times New Roman" w:eastAsia="Times New Roman" w:hAnsi="Times New Roman"/>
            <w:color w:val="000000" w:themeColor="text1"/>
            <w:lang w:eastAsia="ru-RU"/>
          </w:rPr>
          <w:t>Денежно-кредитная политика</w:t>
        </w:r>
      </w:hyperlink>
      <w:r w:rsidR="00747278" w:rsidRPr="002A3FB2">
        <w:rPr>
          <w:rFonts w:ascii="Times New Roman" w:eastAsia="Times New Roman" w:hAnsi="Times New Roman"/>
          <w:color w:val="000000" w:themeColor="text1"/>
          <w:lang w:eastAsia="ru-RU"/>
        </w:rPr>
        <w:t xml:space="preserve"> центрального банка осуществляется методами либо кредитной экспансии, либо кредитной рестрикции.</w:t>
      </w:r>
    </w:p>
    <w:p w14:paraId="7A99BCD5"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3. Банкир правительства</w:t>
      </w:r>
      <w:r w:rsidRPr="002A3FB2">
        <w:rPr>
          <w:rFonts w:ascii="Times New Roman" w:eastAsia="Times New Roman" w:hAnsi="Times New Roman"/>
          <w:color w:val="000000" w:themeColor="text1"/>
          <w:lang w:eastAsia="ru-RU"/>
        </w:rPr>
        <w:t xml:space="preserve"> — в этой функции на центральный банк возложено кассовое обслуживание государственного бюджета и государственного долга. Будучи банкиром правительства, центральный банк хранит на своих счетах средства госбюджета и госзаймов.</w:t>
      </w:r>
    </w:p>
    <w:p w14:paraId="76EE2E49" w14:textId="77777777" w:rsidR="00747278" w:rsidRPr="002A3FB2" w:rsidRDefault="00747278" w:rsidP="00747278">
      <w:pPr>
        <w:rPr>
          <w:rFonts w:ascii="Times New Roman" w:eastAsia="Times New Roman" w:hAnsi="Times New Roman"/>
          <w:lang w:eastAsia="ru-RU"/>
        </w:rPr>
      </w:pPr>
      <w:r w:rsidRPr="002A3FB2">
        <w:rPr>
          <w:rFonts w:ascii="Times New Roman" w:eastAsia="Times New Roman" w:hAnsi="Times New Roman"/>
          <w:b/>
          <w:bCs/>
          <w:color w:val="000000" w:themeColor="text1"/>
          <w:lang w:eastAsia="ru-RU"/>
        </w:rPr>
        <w:t xml:space="preserve">4. Банк банков. </w:t>
      </w:r>
      <w:r w:rsidRPr="002A3FB2">
        <w:rPr>
          <w:rFonts w:ascii="Times New Roman" w:eastAsia="Times New Roman" w:hAnsi="Times New Roman"/>
          <w:color w:val="000000" w:themeColor="text1"/>
          <w:lang w:eastAsia="ru-RU"/>
        </w:rPr>
        <w:t xml:space="preserve">Поскольку </w:t>
      </w:r>
      <w:proofErr w:type="spellStart"/>
      <w:r w:rsidRPr="002A3FB2">
        <w:rPr>
          <w:rFonts w:ascii="Times New Roman" w:eastAsia="Times New Roman" w:hAnsi="Times New Roman"/>
          <w:color w:val="000000" w:themeColor="text1"/>
          <w:lang w:eastAsia="ru-RU"/>
        </w:rPr>
        <w:t>центральныйбанк</w:t>
      </w:r>
      <w:proofErr w:type="spellEnd"/>
      <w:r w:rsidRPr="002A3FB2">
        <w:rPr>
          <w:rFonts w:ascii="Times New Roman" w:eastAsia="Times New Roman" w:hAnsi="Times New Roman"/>
          <w:color w:val="000000" w:themeColor="text1"/>
          <w:lang w:eastAsia="ru-RU"/>
        </w:rPr>
        <w:t xml:space="preserve"> не работает с физическими лицами и хозяйственными структурами, </w:t>
      </w:r>
      <w:proofErr w:type="spellStart"/>
      <w:r w:rsidRPr="002A3FB2">
        <w:rPr>
          <w:rFonts w:ascii="Times New Roman" w:eastAsia="Times New Roman" w:hAnsi="Times New Roman"/>
          <w:color w:val="000000" w:themeColor="text1"/>
          <w:lang w:eastAsia="ru-RU"/>
        </w:rPr>
        <w:t>тозвеном</w:t>
      </w:r>
      <w:proofErr w:type="spellEnd"/>
      <w:r w:rsidRPr="002A3FB2">
        <w:rPr>
          <w:rFonts w:ascii="Times New Roman" w:eastAsia="Times New Roman" w:hAnsi="Times New Roman"/>
          <w:color w:val="000000" w:themeColor="text1"/>
          <w:lang w:eastAsia="ru-RU"/>
        </w:rPr>
        <w:t xml:space="preserve">-посредником выступают коммерческие банки и специализированные кредитно-финансовые </w:t>
      </w:r>
      <w:proofErr w:type="spellStart"/>
      <w:proofErr w:type="gramStart"/>
      <w:r w:rsidRPr="002A3FB2">
        <w:rPr>
          <w:rFonts w:ascii="Times New Roman" w:eastAsia="Times New Roman" w:hAnsi="Times New Roman"/>
          <w:color w:val="000000" w:themeColor="text1"/>
          <w:lang w:eastAsia="ru-RU"/>
        </w:rPr>
        <w:t>институты.</w:t>
      </w:r>
      <w:r w:rsidRPr="002A3FB2">
        <w:rPr>
          <w:rFonts w:ascii="Times New Roman" w:eastAsia="Times New Roman" w:hAnsi="Times New Roman"/>
          <w:lang w:eastAsia="ru-RU"/>
        </w:rPr>
        <w:t>Понятие</w:t>
      </w:r>
      <w:proofErr w:type="spellEnd"/>
      <w:proofErr w:type="gramEnd"/>
      <w:r w:rsidRPr="002A3FB2">
        <w:rPr>
          <w:rFonts w:ascii="Times New Roman" w:eastAsia="Times New Roman" w:hAnsi="Times New Roman"/>
          <w:lang w:eastAsia="ru-RU"/>
        </w:rPr>
        <w:t xml:space="preserve"> «банка банков» означает, что все кассовые резервы концентрируются в ЦБ и их поступление в хозяйственный оборот происходит посредством пополнения кассы коммерческих банков через учреждения ЦБ. Все банки осуществляют безналичные расчеты через посредство ЦБ, а в случае необходимости — получают кредиты ЦБ. В итоге и наличный, и безналичные обороты денежных средств концентрируются в ЦБ и его учреждениях.</w:t>
      </w:r>
    </w:p>
    <w:p w14:paraId="2A72B0EA"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5. Хранение золотого и валютного запаса страны</w:t>
      </w:r>
      <w:r w:rsidRPr="002A3FB2">
        <w:rPr>
          <w:rFonts w:ascii="Times New Roman" w:eastAsia="Times New Roman" w:hAnsi="Times New Roman"/>
          <w:color w:val="000000" w:themeColor="text1"/>
          <w:lang w:eastAsia="ru-RU"/>
        </w:rPr>
        <w:t>.</w:t>
      </w:r>
    </w:p>
    <w:p w14:paraId="0CF9C75E"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6. Денежно-кредитное регулирование экономики</w:t>
      </w:r>
      <w:r w:rsidRPr="002A3FB2">
        <w:rPr>
          <w:rFonts w:ascii="Times New Roman" w:eastAsia="Times New Roman" w:hAnsi="Times New Roman"/>
          <w:color w:val="000000" w:themeColor="text1"/>
          <w:lang w:eastAsia="ru-RU"/>
        </w:rPr>
        <w:t>.</w:t>
      </w:r>
    </w:p>
    <w:p w14:paraId="65622A20"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Основные </w:t>
      </w:r>
      <w:r w:rsidRPr="002A3FB2">
        <w:rPr>
          <w:rFonts w:ascii="Times New Roman" w:eastAsia="Times New Roman" w:hAnsi="Times New Roman"/>
          <w:b/>
          <w:bCs/>
          <w:color w:val="000000" w:themeColor="text1"/>
          <w:lang w:eastAsia="ru-RU"/>
        </w:rPr>
        <w:t>методы</w:t>
      </w:r>
      <w:r w:rsidRPr="002A3FB2">
        <w:rPr>
          <w:rFonts w:ascii="Times New Roman" w:eastAsia="Times New Roman" w:hAnsi="Times New Roman"/>
          <w:color w:val="000000" w:themeColor="text1"/>
          <w:lang w:eastAsia="ru-RU"/>
        </w:rPr>
        <w:t>:</w:t>
      </w:r>
    </w:p>
    <w:p w14:paraId="01F70AAF"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изменение ставки учетного процента (учетная политика);</w:t>
      </w:r>
    </w:p>
    <w:p w14:paraId="7D61951E"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пересмотр норм обязательных резервов (резервная политика);</w:t>
      </w:r>
    </w:p>
    <w:p w14:paraId="23A28CEC"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операции с валютой на открытом рынке (для поддержания курса национальной валюты);</w:t>
      </w:r>
    </w:p>
    <w:p w14:paraId="2E050F3B"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рефинансирование национальной кредитной системы.</w:t>
      </w:r>
    </w:p>
    <w:p w14:paraId="13260794"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lastRenderedPageBreak/>
        <w:t xml:space="preserve">Банк России имеет право осуществлять следующие </w:t>
      </w:r>
      <w:r w:rsidRPr="002A3FB2">
        <w:rPr>
          <w:rFonts w:ascii="Times New Roman" w:eastAsia="Times New Roman" w:hAnsi="Times New Roman"/>
          <w:b/>
          <w:color w:val="000000" w:themeColor="text1"/>
          <w:lang w:eastAsia="ru-RU"/>
        </w:rPr>
        <w:t>банковские операции и сделки</w:t>
      </w:r>
      <w:r w:rsidRPr="002A3FB2">
        <w:rPr>
          <w:rFonts w:ascii="Times New Roman" w:eastAsia="Times New Roman" w:hAnsi="Times New Roman"/>
          <w:color w:val="000000" w:themeColor="text1"/>
          <w:lang w:eastAsia="ru-RU"/>
        </w:rPr>
        <w:t>:</w:t>
      </w:r>
    </w:p>
    <w:p w14:paraId="34FD74A2"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предоставлять кредиты на срок не более одного года под обеспечение ценными бумагами и другими активами;</w:t>
      </w:r>
    </w:p>
    <w:p w14:paraId="7A7049B5"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предоставлять кредиты без обеспечения на срок не более одного года российским кредитным организациям, имеющим рейтинг не ниже установленного уровня;</w:t>
      </w:r>
    </w:p>
    <w:p w14:paraId="40C8A34F"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покупать и продавать ценные бумаги на открытом рынке, а также продавать ценные бумаги, выступающие обеспечением кредитов Банка России;</w:t>
      </w:r>
    </w:p>
    <w:p w14:paraId="6C2DDF98"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покупать и продавать облигации, эмитированные Банком России, и депозитные сертификаты;</w:t>
      </w:r>
    </w:p>
    <w:p w14:paraId="36E7B884"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покупать и продавать иностранную валюту;</w:t>
      </w:r>
    </w:p>
    <w:p w14:paraId="729E61D0"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покупать, хранить и продавать драгоценные металлы;</w:t>
      </w:r>
    </w:p>
    <w:p w14:paraId="411B5BCD"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проводить расчетные, кассовые и депозитные операции, принимать на хранение и в управление ценные бумаги и другие активы;</w:t>
      </w:r>
    </w:p>
    <w:p w14:paraId="519DAF66"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выдавать поручительства и банковские гарантии;</w:t>
      </w:r>
    </w:p>
    <w:p w14:paraId="295EB36C"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осуществлять операции с финансовыми инструментами, используемыми для управления финансовыми рисками;</w:t>
      </w:r>
    </w:p>
    <w:p w14:paraId="31160822"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открывать счета в кредитных организациях;</w:t>
      </w:r>
    </w:p>
    <w:p w14:paraId="3542C849"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выставлять чеки и векселя в любой валюте;</w:t>
      </w:r>
    </w:p>
    <w:p w14:paraId="5E0A5A61" w14:textId="77777777" w:rsidR="00747278" w:rsidRPr="002A3FB2" w:rsidRDefault="00747278" w:rsidP="00747278">
      <w:pPr>
        <w:shd w:val="clear" w:color="auto" w:fill="FFFFFF"/>
        <w:textAlignment w:val="top"/>
        <w:rPr>
          <w:rFonts w:ascii="Times New Roman" w:eastAsia="Times New Roman" w:hAnsi="Times New Roman"/>
          <w:color w:val="000000" w:themeColor="text1"/>
          <w:u w:val="single"/>
          <w:lang w:eastAsia="ru-RU"/>
        </w:rPr>
      </w:pPr>
      <w:r w:rsidRPr="002A3FB2">
        <w:rPr>
          <w:rFonts w:ascii="Times New Roman" w:eastAsia="Times New Roman" w:hAnsi="Times New Roman"/>
          <w:color w:val="000000" w:themeColor="text1"/>
          <w:u w:val="single"/>
          <w:lang w:eastAsia="ru-RU"/>
        </w:rPr>
        <w:t>Банк России не имеет права:</w:t>
      </w:r>
    </w:p>
    <w:p w14:paraId="4E3A2E7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осуществлять операции с юридическими лицами, не имеющими лицензии на осуществление банковских операций;</w:t>
      </w:r>
    </w:p>
    <w:p w14:paraId="2915E619"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приобретать акции (доли) кредитных и иных организаций;</w:t>
      </w:r>
    </w:p>
    <w:p w14:paraId="48291683"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осуществлять операции с недвижимостью;</w:t>
      </w:r>
    </w:p>
    <w:p w14:paraId="6B5179B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заниматься торговой и производственной деятельностью;</w:t>
      </w:r>
    </w:p>
    <w:p w14:paraId="2FB7C21E"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пролонгировать предоставленные кредиты.</w:t>
      </w:r>
    </w:p>
    <w:p w14:paraId="2BA8F386" w14:textId="77777777" w:rsidR="00747278" w:rsidRPr="00747278" w:rsidRDefault="00747278" w:rsidP="00747278"/>
    <w:p w14:paraId="57D5A32C" w14:textId="1772162D" w:rsidR="00137A12" w:rsidRDefault="00137A12" w:rsidP="00137A12">
      <w:pPr>
        <w:rPr>
          <w:bCs/>
        </w:rPr>
      </w:pPr>
    </w:p>
    <w:p w14:paraId="63CAA12E" w14:textId="77777777" w:rsidR="00747278" w:rsidRPr="002A3FB2" w:rsidRDefault="00747278" w:rsidP="00747278">
      <w:pPr>
        <w:shd w:val="clear" w:color="auto" w:fill="FFFFFF"/>
        <w:textAlignment w:val="top"/>
        <w:rPr>
          <w:rFonts w:ascii="Times New Roman" w:eastAsia="Times New Roman" w:hAnsi="Times New Roman"/>
          <w:lang w:eastAsia="ru-RU"/>
        </w:rPr>
      </w:pPr>
      <w:r w:rsidRPr="002A3FB2">
        <w:rPr>
          <w:rFonts w:ascii="Times New Roman" w:eastAsia="Times New Roman" w:hAnsi="Times New Roman"/>
          <w:b/>
          <w:bCs/>
          <w:lang w:eastAsia="ru-RU"/>
        </w:rPr>
        <w:t>Коммерческий банк</w:t>
      </w:r>
      <w:r w:rsidRPr="002A3FB2">
        <w:rPr>
          <w:rFonts w:ascii="Times New Roman" w:eastAsia="Times New Roman" w:hAnsi="Times New Roman"/>
          <w:lang w:eastAsia="ru-RU"/>
        </w:rPr>
        <w:t xml:space="preserve"> — кредитной учреждение, операции которого направлены на аккумуляцию денежных средств, на последующее их размещение на денежном рынке, а также выполнение поручений клиентов.</w:t>
      </w:r>
    </w:p>
    <w:p w14:paraId="6F9653AD"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hAnsi="Times New Roman"/>
          <w:color w:val="000000" w:themeColor="text1"/>
        </w:rPr>
        <w:t xml:space="preserve">Согласно Закону о банковской деятельности </w:t>
      </w:r>
      <w:r>
        <w:rPr>
          <w:rFonts w:ascii="Times New Roman" w:hAnsi="Times New Roman"/>
          <w:color w:val="000000" w:themeColor="text1"/>
        </w:rPr>
        <w:t>к</w:t>
      </w:r>
      <w:r w:rsidRPr="002A3FB2">
        <w:rPr>
          <w:rFonts w:ascii="Times New Roman" w:eastAsia="Times New Roman" w:hAnsi="Times New Roman"/>
          <w:color w:val="000000" w:themeColor="text1"/>
          <w:lang w:eastAsia="ru-RU"/>
        </w:rPr>
        <w:t>редитная организация может совершать только банковские операции, которые указаны в лицензии. В настоящее время в ст. 5 Закона о банках дан исчерпывающий</w:t>
      </w:r>
      <w:r w:rsidRPr="002A3FB2">
        <w:rPr>
          <w:rFonts w:ascii="Times New Roman" w:eastAsia="Times New Roman" w:hAnsi="Times New Roman"/>
          <w:b/>
          <w:bCs/>
          <w:color w:val="000000" w:themeColor="text1"/>
          <w:lang w:eastAsia="ru-RU"/>
        </w:rPr>
        <w:t xml:space="preserve"> перечень банковских операции</w:t>
      </w:r>
      <w:r w:rsidRPr="002A3FB2">
        <w:rPr>
          <w:rFonts w:ascii="Times New Roman" w:eastAsia="Times New Roman" w:hAnsi="Times New Roman"/>
          <w:color w:val="000000" w:themeColor="text1"/>
          <w:lang w:eastAsia="ru-RU"/>
        </w:rPr>
        <w:t>, к которым относятся:</w:t>
      </w:r>
    </w:p>
    <w:p w14:paraId="7514F840"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привлечение денежных средств физических и юридических лиц во вклады (до востребования и на определенный срок);</w:t>
      </w:r>
    </w:p>
    <w:p w14:paraId="40849860"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размещение привлеченных средств от своего имени и за свой счет;</w:t>
      </w:r>
    </w:p>
    <w:p w14:paraId="39D66EB8"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открытие и ведение банковских счетов физических и юридических лиц;</w:t>
      </w:r>
    </w:p>
    <w:p w14:paraId="72626C7F"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осуществление расчетов по поручению физических и юридических лиц, в том числе банков-корреспондентов, по их банковским счетам;</w:t>
      </w:r>
    </w:p>
    <w:p w14:paraId="44E9344E"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инкассация денежных средств, векселей, платежных и расчетных документов и кассовое обслуживание физических и юридических лиц;</w:t>
      </w:r>
    </w:p>
    <w:p w14:paraId="41886B07"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купля-продажа иностранной валюты в наличной и безналичной формах;</w:t>
      </w:r>
    </w:p>
    <w:p w14:paraId="297ECB74"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привлечение во вклады и размещение драгоценных металлов;</w:t>
      </w:r>
    </w:p>
    <w:p w14:paraId="004FE7CD"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выдача банковских гарантий;</w:t>
      </w:r>
    </w:p>
    <w:p w14:paraId="147C61F7"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осуществление переводов денежных средств по поручению физических лиц без открытия банковских счетов.</w:t>
      </w:r>
    </w:p>
    <w:p w14:paraId="02C706F2" w14:textId="77777777" w:rsidR="00747278" w:rsidRPr="002A3FB2" w:rsidRDefault="00747278" w:rsidP="00747278">
      <w:pPr>
        <w:shd w:val="clear" w:color="auto" w:fill="FFFFFF"/>
        <w:textAlignment w:val="top"/>
        <w:rPr>
          <w:rFonts w:ascii="Times New Roman" w:eastAsia="Times New Roman" w:hAnsi="Times New Roman"/>
          <w:b/>
          <w:color w:val="000000" w:themeColor="text1"/>
          <w:lang w:eastAsia="ru-RU"/>
        </w:rPr>
      </w:pPr>
      <w:r w:rsidRPr="002A3FB2">
        <w:rPr>
          <w:rFonts w:ascii="Times New Roman" w:eastAsia="Times New Roman" w:hAnsi="Times New Roman"/>
          <w:color w:val="000000" w:themeColor="text1"/>
          <w:lang w:eastAsia="ru-RU"/>
        </w:rPr>
        <w:t xml:space="preserve">Кредитная организация помимо перечисленных банковских операций вправе проводить следующие </w:t>
      </w:r>
      <w:r w:rsidRPr="002A3FB2">
        <w:rPr>
          <w:rFonts w:ascii="Times New Roman" w:eastAsia="Times New Roman" w:hAnsi="Times New Roman"/>
          <w:b/>
          <w:color w:val="000000" w:themeColor="text1"/>
          <w:lang w:eastAsia="ru-RU"/>
        </w:rPr>
        <w:t>сделки:</w:t>
      </w:r>
    </w:p>
    <w:p w14:paraId="286214F7"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выдачу поручительств за третьих лиц, предусматривающих исполнение обязательств в денежной форме;</w:t>
      </w:r>
    </w:p>
    <w:p w14:paraId="55CB035B"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lastRenderedPageBreak/>
        <w:t>приобретение права требования от третьих лиц исполнения обязательств в денежной форме;</w:t>
      </w:r>
    </w:p>
    <w:p w14:paraId="684CA2D8"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доверительное управление денежными средствами и иным имуществом по договору с физическими и юридическими лицами;</w:t>
      </w:r>
    </w:p>
    <w:p w14:paraId="5F102676"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операции с драгоценными металлами и драгоценными камнями в соответствии с законодательством РФ;</w:t>
      </w:r>
    </w:p>
    <w:p w14:paraId="09A06F96"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предоставление в аренду физическим и юридическим лицам специальных помещений или находящихся в них сейфов для хранения документов и ценностей;</w:t>
      </w:r>
    </w:p>
    <w:p w14:paraId="6AE5847D"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лизинговые операции;</w:t>
      </w:r>
    </w:p>
    <w:p w14:paraId="021895B1"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оказание консультационных и информационных услуг;</w:t>
      </w:r>
    </w:p>
    <w:p w14:paraId="04335888"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иные сделки в соответствии с законодательством РФ.</w:t>
      </w:r>
    </w:p>
    <w:p w14:paraId="4BFDBD2E" w14:textId="77777777" w:rsidR="00D93500" w:rsidRDefault="00D93500" w:rsidP="00747278">
      <w:pPr>
        <w:shd w:val="clear" w:color="auto" w:fill="FFFFFF"/>
        <w:textAlignment w:val="top"/>
        <w:rPr>
          <w:rFonts w:ascii="Times New Roman" w:eastAsia="Times New Roman" w:hAnsi="Times New Roman"/>
          <w:color w:val="000000" w:themeColor="text1"/>
          <w:lang w:eastAsia="ru-RU"/>
        </w:rPr>
      </w:pPr>
    </w:p>
    <w:p w14:paraId="40D819D9" w14:textId="374E256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Кредитной организации</w:t>
      </w:r>
      <w:r w:rsidRPr="002A3FB2">
        <w:rPr>
          <w:rFonts w:ascii="Times New Roman" w:eastAsia="Times New Roman" w:hAnsi="Times New Roman"/>
          <w:b/>
          <w:bCs/>
          <w:color w:val="000000" w:themeColor="text1"/>
          <w:lang w:eastAsia="ru-RU"/>
        </w:rPr>
        <w:t xml:space="preserve"> запрещается заниматься</w:t>
      </w:r>
      <w:r w:rsidRPr="002A3FB2">
        <w:rPr>
          <w:rFonts w:ascii="Times New Roman" w:eastAsia="Times New Roman" w:hAnsi="Times New Roman"/>
          <w:color w:val="000000" w:themeColor="text1"/>
          <w:lang w:eastAsia="ru-RU"/>
        </w:rPr>
        <w:t xml:space="preserve"> производственной, торговой и страховой деятельностью.</w:t>
      </w:r>
    </w:p>
    <w:p w14:paraId="6086A66E" w14:textId="77777777" w:rsidR="00D93500" w:rsidRDefault="00D93500" w:rsidP="00747278">
      <w:pPr>
        <w:pStyle w:val="a4"/>
        <w:shd w:val="clear" w:color="auto" w:fill="FFFFFF"/>
        <w:spacing w:before="0" w:after="0" w:afterAutospacing="0"/>
        <w:ind w:left="0" w:right="0"/>
        <w:jc w:val="both"/>
        <w:rPr>
          <w:rFonts w:ascii="Times New Roman" w:hAnsi="Times New Roman"/>
          <w:color w:val="000000" w:themeColor="text1"/>
          <w:sz w:val="24"/>
          <w:szCs w:val="24"/>
        </w:rPr>
      </w:pPr>
    </w:p>
    <w:p w14:paraId="3D646C65" w14:textId="604F629A" w:rsidR="00747278" w:rsidRPr="002A3FB2" w:rsidRDefault="00747278" w:rsidP="00747278">
      <w:pPr>
        <w:pStyle w:val="a4"/>
        <w:shd w:val="clear" w:color="auto" w:fill="FFFFFF"/>
        <w:spacing w:before="0" w:after="0" w:afterAutospacing="0"/>
        <w:ind w:left="0" w:right="0"/>
        <w:jc w:val="both"/>
        <w:rPr>
          <w:rFonts w:ascii="Times New Roman" w:hAnsi="Times New Roman"/>
          <w:color w:val="000000" w:themeColor="text1"/>
          <w:sz w:val="24"/>
          <w:szCs w:val="24"/>
        </w:rPr>
      </w:pPr>
      <w:r w:rsidRPr="002A3FB2">
        <w:rPr>
          <w:rFonts w:ascii="Times New Roman" w:hAnsi="Times New Roman"/>
          <w:color w:val="000000" w:themeColor="text1"/>
          <w:sz w:val="24"/>
          <w:szCs w:val="24"/>
        </w:rPr>
        <w:t xml:space="preserve">Деятельность универсальных коммерческих банков определяют три </w:t>
      </w:r>
      <w:r w:rsidRPr="002A3FB2">
        <w:rPr>
          <w:rFonts w:ascii="Times New Roman" w:hAnsi="Times New Roman"/>
          <w:i/>
          <w:color w:val="000000" w:themeColor="text1"/>
          <w:sz w:val="24"/>
          <w:szCs w:val="24"/>
        </w:rPr>
        <w:t>основные функции</w:t>
      </w:r>
      <w:r w:rsidRPr="002A3FB2">
        <w:rPr>
          <w:rFonts w:ascii="Times New Roman" w:hAnsi="Times New Roman"/>
          <w:color w:val="000000" w:themeColor="text1"/>
          <w:sz w:val="24"/>
          <w:szCs w:val="24"/>
        </w:rPr>
        <w:t>:</w:t>
      </w:r>
    </w:p>
    <w:p w14:paraId="509F2FB0"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аккумуляция и мобилизация временно свободных денежных средств;</w:t>
      </w:r>
    </w:p>
    <w:p w14:paraId="05F55A58"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предоставление кредита;</w:t>
      </w:r>
    </w:p>
    <w:p w14:paraId="3097888F" w14:textId="77777777" w:rsidR="00747278" w:rsidRPr="002A3FB2" w:rsidRDefault="00747278" w:rsidP="00747278">
      <w:pPr>
        <w:numPr>
          <w:ilvl w:val="0"/>
          <w:numId w:val="11"/>
        </w:numPr>
        <w:shd w:val="clear" w:color="auto" w:fill="FFFFFF"/>
        <w:ind w:left="0" w:firstLine="709"/>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посредничество в осуществлении платежей и расчетов.</w:t>
      </w:r>
    </w:p>
    <w:p w14:paraId="405E9E55"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Функция</w:t>
      </w:r>
      <w:r w:rsidRPr="002A3FB2">
        <w:rPr>
          <w:rFonts w:ascii="Times New Roman" w:eastAsia="Times New Roman" w:hAnsi="Times New Roman"/>
          <w:b/>
          <w:bCs/>
          <w:color w:val="000000" w:themeColor="text1"/>
          <w:lang w:eastAsia="ru-RU"/>
        </w:rPr>
        <w:t xml:space="preserve"> аккумуляции и мобилизации временно свободных денежных средств</w:t>
      </w:r>
      <w:r w:rsidRPr="002A3FB2">
        <w:rPr>
          <w:rFonts w:ascii="Times New Roman" w:eastAsia="Times New Roman" w:hAnsi="Times New Roman"/>
          <w:color w:val="000000" w:themeColor="text1"/>
          <w:lang w:eastAsia="ru-RU"/>
        </w:rPr>
        <w:t xml:space="preserve"> является одной из старейших функций банков. Коммерческим банкам принадлежит ведущая роль в привлечении свободных денежных средств всех экономических агентов — населения, предприятий и </w:t>
      </w:r>
      <w:proofErr w:type="gramStart"/>
      <w:r w:rsidRPr="002A3FB2">
        <w:rPr>
          <w:rFonts w:ascii="Times New Roman" w:eastAsia="Times New Roman" w:hAnsi="Times New Roman"/>
          <w:color w:val="000000" w:themeColor="text1"/>
          <w:lang w:eastAsia="ru-RU"/>
        </w:rPr>
        <w:t>государства</w:t>
      </w:r>
      <w:proofErr w:type="gramEnd"/>
      <w:r w:rsidRPr="002A3FB2">
        <w:rPr>
          <w:rFonts w:ascii="Times New Roman" w:eastAsia="Times New Roman" w:hAnsi="Times New Roman"/>
          <w:color w:val="000000" w:themeColor="text1"/>
          <w:lang w:eastAsia="ru-RU"/>
        </w:rPr>
        <w:t xml:space="preserve"> и превращения их в капитал с целью получения прибыли. Выполняя функцию</w:t>
      </w:r>
      <w:r w:rsidRPr="002A3FB2">
        <w:rPr>
          <w:rFonts w:ascii="Times New Roman" w:eastAsia="Times New Roman" w:hAnsi="Times New Roman"/>
          <w:b/>
          <w:bCs/>
          <w:color w:val="000000" w:themeColor="text1"/>
          <w:lang w:eastAsia="ru-RU"/>
        </w:rPr>
        <w:t xml:space="preserve"> предоставления кредита</w:t>
      </w:r>
      <w:r w:rsidRPr="002A3FB2">
        <w:rPr>
          <w:rFonts w:ascii="Times New Roman" w:eastAsia="Times New Roman" w:hAnsi="Times New Roman"/>
          <w:color w:val="000000" w:themeColor="text1"/>
          <w:lang w:eastAsia="ru-RU"/>
        </w:rPr>
        <w:t xml:space="preserve">, коммерческий банк выступает посредником между субъектами, имеющими свободные денежные средства, и субъектами, в них нуждающимися. </w:t>
      </w:r>
    </w:p>
    <w:p w14:paraId="08ECE831"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Посредничество в осуществлении платежей и расчетов</w:t>
      </w:r>
      <w:r w:rsidRPr="002A3FB2">
        <w:rPr>
          <w:rFonts w:ascii="Times New Roman" w:eastAsia="Times New Roman" w:hAnsi="Times New Roman"/>
          <w:color w:val="000000" w:themeColor="text1"/>
          <w:lang w:eastAsia="ru-RU"/>
        </w:rPr>
        <w:t xml:space="preserve"> —</w:t>
      </w:r>
      <w:r>
        <w:rPr>
          <w:rFonts w:ascii="Times New Roman" w:eastAsia="Times New Roman" w:hAnsi="Times New Roman"/>
          <w:color w:val="000000" w:themeColor="text1"/>
          <w:lang w:eastAsia="ru-RU"/>
        </w:rPr>
        <w:t xml:space="preserve"> </w:t>
      </w:r>
      <w:r w:rsidRPr="002A3FB2">
        <w:rPr>
          <w:rFonts w:ascii="Times New Roman" w:eastAsia="Times New Roman" w:hAnsi="Times New Roman"/>
          <w:color w:val="000000" w:themeColor="text1"/>
          <w:lang w:eastAsia="ru-RU"/>
        </w:rPr>
        <w:t xml:space="preserve">коммерческие банки обеспечивают функционирование платежной системы, осуществляя перевод денежных средств. В целях реализации этой функции коммерческие банки открывают счета для своих клиентов, осуществляют перевод денежных средств. Коммерческие банки проводят клиринговые зачеты, используя для этого клиринговые системы крупных банков, имеющих большое количество филиалов и отделений. </w:t>
      </w:r>
    </w:p>
    <w:p w14:paraId="039453F4"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Развивается система электронных расчетов — электронные деньги. Централизация платежей в банках способствует уменьшению издержек обращения. Коммерческие банки осуществляют также международные расчеты.</w:t>
      </w:r>
    </w:p>
    <w:p w14:paraId="6C657B4C"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Помимо трех определяющих функций часто выделяют </w:t>
      </w:r>
      <w:r w:rsidRPr="002A3FB2">
        <w:rPr>
          <w:rFonts w:ascii="Times New Roman" w:eastAsia="Times New Roman" w:hAnsi="Times New Roman"/>
          <w:i/>
          <w:color w:val="000000" w:themeColor="text1"/>
          <w:lang w:eastAsia="ru-RU"/>
        </w:rPr>
        <w:t>дополнительные функции</w:t>
      </w:r>
      <w:r w:rsidRPr="002A3FB2">
        <w:rPr>
          <w:rFonts w:ascii="Times New Roman" w:eastAsia="Times New Roman" w:hAnsi="Times New Roman"/>
          <w:color w:val="000000" w:themeColor="text1"/>
          <w:lang w:eastAsia="ru-RU"/>
        </w:rPr>
        <w:t xml:space="preserve">: </w:t>
      </w:r>
      <w:r w:rsidRPr="002A3FB2">
        <w:rPr>
          <w:rFonts w:ascii="Times New Roman" w:eastAsia="Times New Roman" w:hAnsi="Times New Roman"/>
          <w:b/>
          <w:bCs/>
          <w:color w:val="000000" w:themeColor="text1"/>
          <w:lang w:eastAsia="ru-RU"/>
        </w:rPr>
        <w:t>функция создания платежных средств</w:t>
      </w:r>
      <w:r w:rsidRPr="002A3FB2">
        <w:rPr>
          <w:rFonts w:ascii="Times New Roman" w:eastAsia="Times New Roman" w:hAnsi="Times New Roman"/>
          <w:color w:val="000000" w:themeColor="text1"/>
          <w:lang w:eastAsia="ru-RU"/>
        </w:rPr>
        <w:t xml:space="preserve"> в виде банковских депозитов, которые используются с помощью чеков, пластиковых карточек, векселей, электронных переводов;</w:t>
      </w:r>
      <w:r w:rsidRPr="002A3FB2">
        <w:rPr>
          <w:rFonts w:ascii="Times New Roman" w:eastAsia="Times New Roman" w:hAnsi="Times New Roman"/>
          <w:b/>
          <w:bCs/>
          <w:color w:val="000000" w:themeColor="text1"/>
          <w:lang w:eastAsia="ru-RU"/>
        </w:rPr>
        <w:t xml:space="preserve"> функция организации выпуска и размещении ценных бумаг - </w:t>
      </w:r>
      <w:r w:rsidRPr="002A3FB2">
        <w:rPr>
          <w:rFonts w:ascii="Times New Roman" w:eastAsia="Times New Roman" w:hAnsi="Times New Roman"/>
          <w:color w:val="000000" w:themeColor="text1"/>
          <w:lang w:eastAsia="ru-RU"/>
        </w:rPr>
        <w:t xml:space="preserve"> осуществляется посредством инвестиционных операций. </w:t>
      </w:r>
    </w:p>
    <w:p w14:paraId="5C2ABBF8" w14:textId="77777777" w:rsidR="00D93500" w:rsidRDefault="00D93500" w:rsidP="00747278">
      <w:pPr>
        <w:shd w:val="clear" w:color="auto" w:fill="FFFFFF"/>
        <w:textAlignment w:val="top"/>
        <w:rPr>
          <w:rFonts w:ascii="Times New Roman" w:eastAsia="Times New Roman" w:hAnsi="Times New Roman"/>
          <w:color w:val="000000" w:themeColor="text1"/>
          <w:lang w:eastAsia="ru-RU"/>
        </w:rPr>
      </w:pPr>
    </w:p>
    <w:p w14:paraId="0C3813A4" w14:textId="28ABA6CD" w:rsidR="00747278" w:rsidRPr="002A3FB2" w:rsidRDefault="00747278" w:rsidP="00747278">
      <w:pPr>
        <w:shd w:val="clear" w:color="auto" w:fill="FFFFFF"/>
        <w:textAlignment w:val="top"/>
        <w:rPr>
          <w:rFonts w:ascii="Times New Roman" w:eastAsia="Times New Roman" w:hAnsi="Times New Roman"/>
          <w:color w:val="000000" w:themeColor="text1"/>
          <w:u w:val="single"/>
          <w:lang w:eastAsia="ru-RU"/>
        </w:rPr>
      </w:pPr>
      <w:r w:rsidRPr="002A3FB2">
        <w:rPr>
          <w:rFonts w:ascii="Times New Roman" w:eastAsia="Times New Roman" w:hAnsi="Times New Roman"/>
          <w:color w:val="000000" w:themeColor="text1"/>
          <w:lang w:eastAsia="ru-RU"/>
        </w:rPr>
        <w:t xml:space="preserve">Банковские операции можно разделить на </w:t>
      </w:r>
      <w:r w:rsidRPr="002A3FB2">
        <w:rPr>
          <w:rFonts w:ascii="Times New Roman" w:eastAsia="Times New Roman" w:hAnsi="Times New Roman"/>
          <w:color w:val="000000" w:themeColor="text1"/>
          <w:u w:val="single"/>
          <w:lang w:eastAsia="ru-RU"/>
        </w:rPr>
        <w:t>пассивные и активные.</w:t>
      </w:r>
    </w:p>
    <w:p w14:paraId="5E5625F6"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Пассивные операции</w:t>
      </w:r>
      <w:r w:rsidRPr="002A3FB2">
        <w:rPr>
          <w:rFonts w:ascii="Times New Roman" w:eastAsia="Times New Roman" w:hAnsi="Times New Roman"/>
          <w:color w:val="000000" w:themeColor="text1"/>
          <w:lang w:eastAsia="ru-RU"/>
        </w:rPr>
        <w:t xml:space="preserve"> направлены на привлечение средств. К пассивным операциям коммерческого банка относятся:</w:t>
      </w:r>
    </w:p>
    <w:p w14:paraId="29FB2EB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формирование собственного капитала банка;</w:t>
      </w:r>
    </w:p>
    <w:p w14:paraId="243C5FAD"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прием вкладов (депозитов);</w:t>
      </w:r>
    </w:p>
    <w:p w14:paraId="3B2F3BF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открытие и ведение счетов клиентов, в том числе банков- корреспондентов;</w:t>
      </w:r>
    </w:p>
    <w:p w14:paraId="1E1CAE47"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получение межбанковских кредитов, в том числе централизованных кредитных ресурсов;</w:t>
      </w:r>
    </w:p>
    <w:p w14:paraId="4D56A612"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эмиссия ценных бумаг (облигаций, векселей, депозитных и сберегательных сертификатов);</w:t>
      </w:r>
    </w:p>
    <w:p w14:paraId="102DD6EF"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proofErr w:type="spellStart"/>
      <w:r w:rsidRPr="002A3FB2">
        <w:rPr>
          <w:rFonts w:ascii="Times New Roman" w:eastAsia="Times New Roman" w:hAnsi="Times New Roman"/>
          <w:color w:val="000000"/>
          <w:lang w:eastAsia="ru-RU"/>
        </w:rPr>
        <w:lastRenderedPageBreak/>
        <w:t>евровалютные</w:t>
      </w:r>
      <w:proofErr w:type="spellEnd"/>
      <w:r w:rsidRPr="002A3FB2">
        <w:rPr>
          <w:rFonts w:ascii="Times New Roman" w:eastAsia="Times New Roman" w:hAnsi="Times New Roman"/>
          <w:color w:val="000000"/>
          <w:lang w:eastAsia="ru-RU"/>
        </w:rPr>
        <w:t xml:space="preserve"> кредиты.</w:t>
      </w:r>
    </w:p>
    <w:p w14:paraId="5B631EB7" w14:textId="77777777" w:rsidR="00D93500" w:rsidRDefault="00D93500" w:rsidP="00747278">
      <w:pPr>
        <w:autoSpaceDE w:val="0"/>
        <w:autoSpaceDN w:val="0"/>
        <w:adjustRightInd w:val="0"/>
        <w:rPr>
          <w:rFonts w:ascii="Times New Roman" w:eastAsia="Times New Roman" w:hAnsi="Times New Roman"/>
          <w:b/>
          <w:bCs/>
          <w:color w:val="000000" w:themeColor="text1"/>
          <w:lang w:eastAsia="ru-RU"/>
        </w:rPr>
      </w:pPr>
    </w:p>
    <w:p w14:paraId="499B52DC" w14:textId="6E7A0D74" w:rsidR="00747278" w:rsidRPr="002A3FB2" w:rsidRDefault="00747278" w:rsidP="00747278">
      <w:pPr>
        <w:autoSpaceDE w:val="0"/>
        <w:autoSpaceDN w:val="0"/>
        <w:adjustRightInd w:val="0"/>
        <w:rPr>
          <w:rFonts w:ascii="Times New Roman" w:eastAsia="Times New Roman" w:hAnsi="Times New Roman"/>
          <w:color w:val="000000" w:themeColor="text1"/>
          <w:lang w:eastAsia="ru-RU"/>
        </w:rPr>
      </w:pPr>
      <w:r w:rsidRPr="002A3FB2">
        <w:rPr>
          <w:rFonts w:ascii="Times New Roman" w:eastAsia="Times New Roman" w:hAnsi="Times New Roman"/>
          <w:b/>
          <w:bCs/>
          <w:color w:val="000000" w:themeColor="text1"/>
          <w:lang w:eastAsia="ru-RU"/>
        </w:rPr>
        <w:t>Активные операции</w:t>
      </w:r>
      <w:r w:rsidRPr="002A3FB2">
        <w:rPr>
          <w:rFonts w:ascii="Times New Roman" w:eastAsia="Times New Roman" w:hAnsi="Times New Roman"/>
          <w:color w:val="000000" w:themeColor="text1"/>
          <w:lang w:eastAsia="ru-RU"/>
        </w:rPr>
        <w:t xml:space="preserve"> коммерческих банков направлены на размещение банковских ресурсов.  К ним относятся:</w:t>
      </w:r>
    </w:p>
    <w:p w14:paraId="66C69910" w14:textId="77777777" w:rsidR="00747278" w:rsidRPr="002A3FB2" w:rsidRDefault="00747278" w:rsidP="00747278">
      <w:pPr>
        <w:autoSpaceDE w:val="0"/>
        <w:autoSpaceDN w:val="0"/>
        <w:adjustRightInd w:val="0"/>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1</w:t>
      </w:r>
      <w:r w:rsidRPr="002A3FB2">
        <w:rPr>
          <w:rFonts w:ascii="Times New Roman" w:eastAsia="Times New Roman" w:hAnsi="Times New Roman"/>
          <w:color w:val="000000" w:themeColor="text1"/>
          <w:u w:val="single"/>
          <w:lang w:eastAsia="ru-RU"/>
        </w:rPr>
        <w:t>. Ссудные операции</w:t>
      </w:r>
      <w:r w:rsidRPr="002A3FB2">
        <w:rPr>
          <w:rFonts w:ascii="Times New Roman" w:eastAsia="Times New Roman" w:hAnsi="Times New Roman"/>
          <w:color w:val="000000" w:themeColor="text1"/>
          <w:lang w:eastAsia="ru-RU"/>
        </w:rPr>
        <w:t xml:space="preserve">: выдача денежных ссуд заемщику. В связи с необходимостью точно определить параметры каждой ссуды (сроки, объемы, процент) их классифицируют по следующим основным признакам: </w:t>
      </w:r>
    </w:p>
    <w:p w14:paraId="6BEADE2A"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 обеспеченности: гарантированные, вексельные, подтоварные, фондовые, платежные, необеспеченные и др.;</w:t>
      </w:r>
    </w:p>
    <w:p w14:paraId="2C59EBEB"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 срокам: краткосрочные, среднесрочные, долгосрочные и бессрочные (до востребования);</w:t>
      </w:r>
    </w:p>
    <w:p w14:paraId="10BC5730"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 способу погашения: погашаемые единовременно и частичными платежами;</w:t>
      </w:r>
    </w:p>
    <w:p w14:paraId="2469847C"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по способу выплаты процентов: в момент выдачи ссуды (дисконтированные), в момент погашения ссуды частями.</w:t>
      </w:r>
    </w:p>
    <w:p w14:paraId="7F0C5DCA" w14:textId="77777777" w:rsidR="00747278" w:rsidRPr="002A3FB2" w:rsidRDefault="00747278" w:rsidP="00747278">
      <w:pPr>
        <w:autoSpaceDE w:val="0"/>
        <w:autoSpaceDN w:val="0"/>
        <w:adjustRightInd w:val="0"/>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2. </w:t>
      </w:r>
      <w:r w:rsidRPr="002A3FB2">
        <w:rPr>
          <w:rFonts w:ascii="Times New Roman" w:eastAsia="Times New Roman" w:hAnsi="Times New Roman"/>
          <w:color w:val="000000" w:themeColor="text1"/>
          <w:u w:val="single"/>
          <w:lang w:eastAsia="ru-RU"/>
        </w:rPr>
        <w:t>Фондовые операции</w:t>
      </w:r>
      <w:r w:rsidRPr="002A3FB2">
        <w:rPr>
          <w:rFonts w:ascii="Times New Roman" w:eastAsia="Times New Roman" w:hAnsi="Times New Roman"/>
          <w:color w:val="000000" w:themeColor="text1"/>
          <w:lang w:eastAsia="ru-RU"/>
        </w:rPr>
        <w:t>, предусматривающие приобретение банком доходных денежных активов – акций, облигаций, векселей и т.п. Доля этих операций в общем объеме активных операций банка, как правило, регулируется государством в связи с их повышенным риском. Разновидностью фондовых операций является посредничество банка в размещении новых выпусков ценных бумаг.</w:t>
      </w:r>
    </w:p>
    <w:p w14:paraId="1876F8EF" w14:textId="77777777" w:rsidR="00747278" w:rsidRPr="002A3FB2" w:rsidRDefault="00747278" w:rsidP="00747278">
      <w:pPr>
        <w:autoSpaceDE w:val="0"/>
        <w:autoSpaceDN w:val="0"/>
        <w:adjustRightInd w:val="0"/>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 xml:space="preserve">3. </w:t>
      </w:r>
      <w:r w:rsidRPr="002A3FB2">
        <w:rPr>
          <w:rFonts w:ascii="Times New Roman" w:eastAsia="Times New Roman" w:hAnsi="Times New Roman"/>
          <w:color w:val="000000" w:themeColor="text1"/>
          <w:u w:val="single"/>
          <w:lang w:eastAsia="ru-RU"/>
        </w:rPr>
        <w:t>Расчетные операции</w:t>
      </w:r>
      <w:r w:rsidRPr="002A3FB2">
        <w:rPr>
          <w:rFonts w:ascii="Times New Roman" w:eastAsia="Times New Roman" w:hAnsi="Times New Roman"/>
          <w:color w:val="000000" w:themeColor="text1"/>
          <w:lang w:eastAsia="ru-RU"/>
        </w:rPr>
        <w:t xml:space="preserve">, которые включают в себя: </w:t>
      </w:r>
    </w:p>
    <w:p w14:paraId="2738A7B1"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безналичные денежные расчеты по поручению клиентов; </w:t>
      </w:r>
    </w:p>
    <w:p w14:paraId="4385F3FD"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обеспечение клиентов наличными деньгами (кассовое обслуживание); </w:t>
      </w:r>
    </w:p>
    <w:p w14:paraId="04EDFDB7"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конвертация валюты; </w:t>
      </w:r>
    </w:p>
    <w:p w14:paraId="392B0FED"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межбанковский, в </w:t>
      </w:r>
      <w:proofErr w:type="spellStart"/>
      <w:r w:rsidRPr="002A3FB2">
        <w:rPr>
          <w:rFonts w:ascii="Times New Roman" w:eastAsia="Times New Roman" w:hAnsi="Times New Roman"/>
          <w:color w:val="000000"/>
          <w:lang w:eastAsia="ru-RU"/>
        </w:rPr>
        <w:t>т.ч</w:t>
      </w:r>
      <w:proofErr w:type="spellEnd"/>
      <w:r w:rsidRPr="002A3FB2">
        <w:rPr>
          <w:rFonts w:ascii="Times New Roman" w:eastAsia="Times New Roman" w:hAnsi="Times New Roman"/>
          <w:color w:val="000000"/>
          <w:lang w:eastAsia="ru-RU"/>
        </w:rPr>
        <w:t xml:space="preserve">. международный перевод денег; </w:t>
      </w:r>
    </w:p>
    <w:p w14:paraId="440EC4A6" w14:textId="77777777" w:rsidR="00747278" w:rsidRPr="002A3FB2" w:rsidRDefault="00747278" w:rsidP="00747278">
      <w:pPr>
        <w:numPr>
          <w:ilvl w:val="0"/>
          <w:numId w:val="11"/>
        </w:numPr>
        <w:shd w:val="clear" w:color="auto" w:fill="FFFFFF"/>
        <w:ind w:left="714" w:hanging="357"/>
        <w:jc w:val="both"/>
        <w:rPr>
          <w:rFonts w:ascii="Times New Roman" w:eastAsia="Times New Roman" w:hAnsi="Times New Roman"/>
          <w:color w:val="000000"/>
          <w:lang w:eastAsia="ru-RU"/>
        </w:rPr>
      </w:pPr>
      <w:r w:rsidRPr="002A3FB2">
        <w:rPr>
          <w:rFonts w:ascii="Times New Roman" w:eastAsia="Times New Roman" w:hAnsi="Times New Roman"/>
          <w:color w:val="000000"/>
          <w:lang w:eastAsia="ru-RU"/>
        </w:rPr>
        <w:t xml:space="preserve">инкассирование платежных требований клиентов: выполнение поручений по получению платежей. </w:t>
      </w:r>
    </w:p>
    <w:p w14:paraId="059AEE13" w14:textId="77777777" w:rsidR="00747278" w:rsidRPr="002A3FB2" w:rsidRDefault="00747278" w:rsidP="00747278">
      <w:pPr>
        <w:shd w:val="clear" w:color="auto" w:fill="FFFFFF"/>
        <w:autoSpaceDE w:val="0"/>
        <w:autoSpaceDN w:val="0"/>
        <w:adjustRightInd w:val="0"/>
        <w:rPr>
          <w:rFonts w:ascii="Times New Roman" w:hAnsi="Times New Roman"/>
          <w:iCs/>
          <w:color w:val="000000" w:themeColor="text1"/>
        </w:rPr>
      </w:pPr>
      <w:r w:rsidRPr="002A3FB2">
        <w:rPr>
          <w:rFonts w:ascii="Times New Roman" w:hAnsi="Times New Roman"/>
          <w:color w:val="000000" w:themeColor="text1"/>
        </w:rPr>
        <w:t xml:space="preserve">4. </w:t>
      </w:r>
      <w:r w:rsidRPr="002A3FB2">
        <w:rPr>
          <w:rFonts w:ascii="Times New Roman" w:hAnsi="Times New Roman"/>
          <w:color w:val="000000" w:themeColor="text1"/>
          <w:u w:val="single"/>
        </w:rPr>
        <w:t>Доверительные (трастовые) операции</w:t>
      </w:r>
      <w:r w:rsidRPr="002A3FB2">
        <w:rPr>
          <w:rFonts w:ascii="Times New Roman" w:hAnsi="Times New Roman"/>
          <w:color w:val="000000" w:themeColor="text1"/>
        </w:rPr>
        <w:t xml:space="preserve">, которые представляют собой действия банка по управлению имуществом клиента по его доверенности (трастовому договору). Этим имуществом может быть, например, портфель ценных бумаг, ценности, специальные фонды предприятий и т.п. </w:t>
      </w:r>
    </w:p>
    <w:p w14:paraId="23ABF33F" w14:textId="77777777" w:rsidR="00747278" w:rsidRPr="002A3FB2" w:rsidRDefault="00747278" w:rsidP="00747278">
      <w:pPr>
        <w:shd w:val="clear" w:color="auto" w:fill="FFFFFF"/>
        <w:textAlignment w:val="top"/>
        <w:rPr>
          <w:rFonts w:ascii="Times New Roman" w:eastAsia="Times New Roman" w:hAnsi="Times New Roman"/>
          <w:color w:val="000000" w:themeColor="text1"/>
          <w:lang w:eastAsia="ru-RU"/>
        </w:rPr>
      </w:pPr>
      <w:r w:rsidRPr="002A3FB2">
        <w:rPr>
          <w:rFonts w:ascii="Times New Roman" w:eastAsia="Times New Roman" w:hAnsi="Times New Roman"/>
          <w:color w:val="000000" w:themeColor="text1"/>
          <w:lang w:eastAsia="ru-RU"/>
        </w:rPr>
        <w:t>Все банковские операции и другие сделки исполняются в рублях, а при наличии соответствующей лицензии Банка России — и в иностранной валюте. Правила совершения банковских операций, в том числе правила их материально-технического обеспечения, устанавливаются Банком России согласно федеральным законам.</w:t>
      </w:r>
    </w:p>
    <w:p w14:paraId="0EC9839C" w14:textId="77777777" w:rsidR="00747278" w:rsidRDefault="00747278" w:rsidP="00137A12">
      <w:pPr>
        <w:rPr>
          <w:bCs/>
        </w:rPr>
      </w:pPr>
    </w:p>
    <w:p w14:paraId="24F90B94" w14:textId="77777777" w:rsidR="00137A12" w:rsidRDefault="00137A12" w:rsidP="00137A12">
      <w:pPr>
        <w:rPr>
          <w:bCs/>
        </w:rPr>
      </w:pPr>
    </w:p>
    <w:sectPr w:rsidR="00137A12" w:rsidSect="00D52B7A">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83DC" w14:textId="77777777" w:rsidR="00AF38FA" w:rsidRDefault="00AF38FA" w:rsidP="00747278">
      <w:r>
        <w:separator/>
      </w:r>
    </w:p>
  </w:endnote>
  <w:endnote w:type="continuationSeparator" w:id="0">
    <w:p w14:paraId="009E934B" w14:textId="77777777" w:rsidR="00AF38FA" w:rsidRDefault="00AF38FA" w:rsidP="00747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2CEBC" w14:textId="77777777" w:rsidR="00AF38FA" w:rsidRDefault="00AF38FA" w:rsidP="00747278">
      <w:r>
        <w:separator/>
      </w:r>
    </w:p>
  </w:footnote>
  <w:footnote w:type="continuationSeparator" w:id="0">
    <w:p w14:paraId="0D2E62EE" w14:textId="77777777" w:rsidR="00AF38FA" w:rsidRDefault="00AF38FA" w:rsidP="00747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numPicBullet w:numPicBulletId="3">
    <w:pict>
      <v:shape id="_x0000_i1038" type="#_x0000_t75" style="width:3in;height:3in" o:bullet="t"/>
    </w:pict>
  </w:numPicBullet>
  <w:numPicBullet w:numPicBulletId="4">
    <w:pict>
      <v:shape id="_x0000_i1039" type="#_x0000_t75" style="width:3in;height:3in" o:bullet="t"/>
    </w:pict>
  </w:numPicBullet>
  <w:numPicBullet w:numPicBulletId="5">
    <w:pict>
      <v:shape id="_x0000_i1040" type="#_x0000_t75" alt="Описание: http://www.grandars.ru/img/content/spacer.gif" style="width:.75pt;height:.75pt;visibility:visible;mso-wrap-style:square" o:bullet="t">
        <v:imagedata r:id="rId1" o:title="spacer"/>
      </v:shape>
    </w:pict>
  </w:numPicBullet>
  <w:numPicBullet w:numPicBulletId="6">
    <w:pict>
      <v:shape id="_x0000_i1041" type="#_x0000_t75" style="width:3in;height:3in" o:bullet="t"/>
    </w:pict>
  </w:numPicBullet>
  <w:numPicBullet w:numPicBulletId="7">
    <w:pict>
      <v:shape id="_x0000_i1042" type="#_x0000_t75" style="width:3in;height:3in" o:bullet="t"/>
    </w:pict>
  </w:numPicBullet>
  <w:numPicBullet w:numPicBulletId="8">
    <w:pict>
      <v:shape id="_x0000_i1043" type="#_x0000_t75" style="width:3in;height:3in" o:bullet="t"/>
    </w:pict>
  </w:numPicBullet>
  <w:abstractNum w:abstractNumId="0" w15:restartNumberingAfterBreak="0">
    <w:nsid w:val="01012493"/>
    <w:multiLevelType w:val="singleLevel"/>
    <w:tmpl w:val="541AC2A2"/>
    <w:lvl w:ilvl="0">
      <w:start w:val="1"/>
      <w:numFmt w:val="decimal"/>
      <w:lvlText w:val="%1)"/>
      <w:lvlJc w:val="left"/>
      <w:pPr>
        <w:tabs>
          <w:tab w:val="num" w:pos="360"/>
        </w:tabs>
        <w:ind w:left="360" w:hanging="360"/>
      </w:pPr>
      <w:rPr>
        <w:rFonts w:ascii="Times New Roman" w:hAnsi="Times New Roman" w:hint="default"/>
        <w:b w:val="0"/>
        <w:i w:val="0"/>
      </w:rPr>
    </w:lvl>
  </w:abstractNum>
  <w:abstractNum w:abstractNumId="1" w15:restartNumberingAfterBreak="0">
    <w:nsid w:val="0AFB7A24"/>
    <w:multiLevelType w:val="multilevel"/>
    <w:tmpl w:val="0350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31B60"/>
    <w:multiLevelType w:val="multilevel"/>
    <w:tmpl w:val="CA3869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A7BDE"/>
    <w:multiLevelType w:val="multilevel"/>
    <w:tmpl w:val="98742C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2"/>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36A63"/>
    <w:multiLevelType w:val="hybridMultilevel"/>
    <w:tmpl w:val="60D401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585D2D"/>
    <w:multiLevelType w:val="multilevel"/>
    <w:tmpl w:val="8B54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362B1B"/>
    <w:multiLevelType w:val="hybridMultilevel"/>
    <w:tmpl w:val="C8AAD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C2E5685"/>
    <w:multiLevelType w:val="hybridMultilevel"/>
    <w:tmpl w:val="C85023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4D0A00"/>
    <w:multiLevelType w:val="hybridMultilevel"/>
    <w:tmpl w:val="E56631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EA64A1"/>
    <w:multiLevelType w:val="hybridMultilevel"/>
    <w:tmpl w:val="216ED8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AC2A7B"/>
    <w:multiLevelType w:val="hybridMultilevel"/>
    <w:tmpl w:val="B96E3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F87DDA"/>
    <w:multiLevelType w:val="hybridMultilevel"/>
    <w:tmpl w:val="B1103B90"/>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5A6416"/>
    <w:multiLevelType w:val="multilevel"/>
    <w:tmpl w:val="B89CC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7"/>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E3D6C"/>
    <w:multiLevelType w:val="hybridMultilevel"/>
    <w:tmpl w:val="2364366E"/>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A8D2629"/>
    <w:multiLevelType w:val="multilevel"/>
    <w:tmpl w:val="3AA4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E5BBB"/>
    <w:multiLevelType w:val="hybridMultilevel"/>
    <w:tmpl w:val="98FA1C5C"/>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D751DE2"/>
    <w:multiLevelType w:val="hybridMultilevel"/>
    <w:tmpl w:val="431A9986"/>
    <w:lvl w:ilvl="0" w:tplc="4454AF70">
      <w:start w:val="1"/>
      <w:numFmt w:val="bullet"/>
      <w:lvlText w:val=""/>
      <w:lvlPicBulletId w:val="5"/>
      <w:lvlJc w:val="left"/>
      <w:pPr>
        <w:tabs>
          <w:tab w:val="num" w:pos="720"/>
        </w:tabs>
        <w:ind w:left="720" w:hanging="360"/>
      </w:pPr>
      <w:rPr>
        <w:rFonts w:ascii="Symbol" w:hAnsi="Symbol" w:hint="default"/>
      </w:rPr>
    </w:lvl>
    <w:lvl w:ilvl="1" w:tplc="D4E60EBA" w:tentative="1">
      <w:start w:val="1"/>
      <w:numFmt w:val="bullet"/>
      <w:lvlText w:val=""/>
      <w:lvlJc w:val="left"/>
      <w:pPr>
        <w:tabs>
          <w:tab w:val="num" w:pos="1440"/>
        </w:tabs>
        <w:ind w:left="1440" w:hanging="360"/>
      </w:pPr>
      <w:rPr>
        <w:rFonts w:ascii="Symbol" w:hAnsi="Symbol" w:hint="default"/>
      </w:rPr>
    </w:lvl>
    <w:lvl w:ilvl="2" w:tplc="6C72DDB2" w:tentative="1">
      <w:start w:val="1"/>
      <w:numFmt w:val="bullet"/>
      <w:lvlText w:val=""/>
      <w:lvlJc w:val="left"/>
      <w:pPr>
        <w:tabs>
          <w:tab w:val="num" w:pos="2160"/>
        </w:tabs>
        <w:ind w:left="2160" w:hanging="360"/>
      </w:pPr>
      <w:rPr>
        <w:rFonts w:ascii="Symbol" w:hAnsi="Symbol" w:hint="default"/>
      </w:rPr>
    </w:lvl>
    <w:lvl w:ilvl="3" w:tplc="B78886AE" w:tentative="1">
      <w:start w:val="1"/>
      <w:numFmt w:val="bullet"/>
      <w:lvlText w:val=""/>
      <w:lvlJc w:val="left"/>
      <w:pPr>
        <w:tabs>
          <w:tab w:val="num" w:pos="2880"/>
        </w:tabs>
        <w:ind w:left="2880" w:hanging="360"/>
      </w:pPr>
      <w:rPr>
        <w:rFonts w:ascii="Symbol" w:hAnsi="Symbol" w:hint="default"/>
      </w:rPr>
    </w:lvl>
    <w:lvl w:ilvl="4" w:tplc="494EC8E0" w:tentative="1">
      <w:start w:val="1"/>
      <w:numFmt w:val="bullet"/>
      <w:lvlText w:val=""/>
      <w:lvlJc w:val="left"/>
      <w:pPr>
        <w:tabs>
          <w:tab w:val="num" w:pos="3600"/>
        </w:tabs>
        <w:ind w:left="3600" w:hanging="360"/>
      </w:pPr>
      <w:rPr>
        <w:rFonts w:ascii="Symbol" w:hAnsi="Symbol" w:hint="default"/>
      </w:rPr>
    </w:lvl>
    <w:lvl w:ilvl="5" w:tplc="AE00BCD4" w:tentative="1">
      <w:start w:val="1"/>
      <w:numFmt w:val="bullet"/>
      <w:lvlText w:val=""/>
      <w:lvlJc w:val="left"/>
      <w:pPr>
        <w:tabs>
          <w:tab w:val="num" w:pos="4320"/>
        </w:tabs>
        <w:ind w:left="4320" w:hanging="360"/>
      </w:pPr>
      <w:rPr>
        <w:rFonts w:ascii="Symbol" w:hAnsi="Symbol" w:hint="default"/>
      </w:rPr>
    </w:lvl>
    <w:lvl w:ilvl="6" w:tplc="963CE1B8" w:tentative="1">
      <w:start w:val="1"/>
      <w:numFmt w:val="bullet"/>
      <w:lvlText w:val=""/>
      <w:lvlJc w:val="left"/>
      <w:pPr>
        <w:tabs>
          <w:tab w:val="num" w:pos="5040"/>
        </w:tabs>
        <w:ind w:left="5040" w:hanging="360"/>
      </w:pPr>
      <w:rPr>
        <w:rFonts w:ascii="Symbol" w:hAnsi="Symbol" w:hint="default"/>
      </w:rPr>
    </w:lvl>
    <w:lvl w:ilvl="7" w:tplc="F9969460" w:tentative="1">
      <w:start w:val="1"/>
      <w:numFmt w:val="bullet"/>
      <w:lvlText w:val=""/>
      <w:lvlJc w:val="left"/>
      <w:pPr>
        <w:tabs>
          <w:tab w:val="num" w:pos="5760"/>
        </w:tabs>
        <w:ind w:left="5760" w:hanging="360"/>
      </w:pPr>
      <w:rPr>
        <w:rFonts w:ascii="Symbol" w:hAnsi="Symbol" w:hint="default"/>
      </w:rPr>
    </w:lvl>
    <w:lvl w:ilvl="8" w:tplc="9B582F8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1AC445F"/>
    <w:multiLevelType w:val="multilevel"/>
    <w:tmpl w:val="8904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52E5D"/>
    <w:multiLevelType w:val="hybridMultilevel"/>
    <w:tmpl w:val="B7CCB232"/>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BCA714D"/>
    <w:multiLevelType w:val="multilevel"/>
    <w:tmpl w:val="693E096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4"/>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8618F"/>
    <w:multiLevelType w:val="multilevel"/>
    <w:tmpl w:val="880A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F7013"/>
    <w:multiLevelType w:val="hybridMultilevel"/>
    <w:tmpl w:val="2FA2A4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173865"/>
    <w:multiLevelType w:val="multilevel"/>
    <w:tmpl w:val="95AA2B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66FF5"/>
    <w:multiLevelType w:val="hybridMultilevel"/>
    <w:tmpl w:val="C49059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9D532A5"/>
    <w:multiLevelType w:val="multilevel"/>
    <w:tmpl w:val="F5DA3AA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3"/>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255D2"/>
    <w:multiLevelType w:val="hybridMultilevel"/>
    <w:tmpl w:val="582853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DA0892"/>
    <w:multiLevelType w:val="hybridMultilevel"/>
    <w:tmpl w:val="DD162C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1224C9F"/>
    <w:multiLevelType w:val="hybridMultilevel"/>
    <w:tmpl w:val="59D6E4AC"/>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19911A2"/>
    <w:multiLevelType w:val="multilevel"/>
    <w:tmpl w:val="3F0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02DF6"/>
    <w:multiLevelType w:val="hybridMultilevel"/>
    <w:tmpl w:val="C42A1A9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3D0337"/>
    <w:multiLevelType w:val="hybridMultilevel"/>
    <w:tmpl w:val="FAD69F2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C425F1"/>
    <w:multiLevelType w:val="hybridMultilevel"/>
    <w:tmpl w:val="B4CA3970"/>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3C4513"/>
    <w:multiLevelType w:val="multilevel"/>
    <w:tmpl w:val="740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E042C"/>
    <w:multiLevelType w:val="multilevel"/>
    <w:tmpl w:val="827AF5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6"/>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155ED"/>
    <w:multiLevelType w:val="multilevel"/>
    <w:tmpl w:val="AFB2B2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1"/>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F813D9"/>
    <w:multiLevelType w:val="singleLevel"/>
    <w:tmpl w:val="93E2DF0C"/>
    <w:lvl w:ilvl="0">
      <w:numFmt w:val="bullet"/>
      <w:lvlText w:val="-"/>
      <w:lvlJc w:val="left"/>
      <w:pPr>
        <w:tabs>
          <w:tab w:val="num" w:pos="360"/>
        </w:tabs>
        <w:ind w:left="360" w:hanging="360"/>
      </w:pPr>
      <w:rPr>
        <w:rFonts w:ascii="Times New Roman" w:hAnsi="Times New Roman" w:hint="default"/>
      </w:rPr>
    </w:lvl>
  </w:abstractNum>
  <w:abstractNum w:abstractNumId="36" w15:restartNumberingAfterBreak="0">
    <w:nsid w:val="691808DD"/>
    <w:multiLevelType w:val="hybridMultilevel"/>
    <w:tmpl w:val="80965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743DD1"/>
    <w:multiLevelType w:val="hybridMultilevel"/>
    <w:tmpl w:val="8FC4C86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0E3D1B"/>
    <w:multiLevelType w:val="hybridMultilevel"/>
    <w:tmpl w:val="EC681B24"/>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C084D7D"/>
    <w:multiLevelType w:val="hybridMultilevel"/>
    <w:tmpl w:val="EABE394E"/>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CEE40BF"/>
    <w:multiLevelType w:val="hybridMultilevel"/>
    <w:tmpl w:val="375E9A1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FC07A54"/>
    <w:multiLevelType w:val="multilevel"/>
    <w:tmpl w:val="F6967E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EB3781"/>
    <w:multiLevelType w:val="hybridMultilevel"/>
    <w:tmpl w:val="F8EE63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25734D2"/>
    <w:multiLevelType w:val="hybridMultilevel"/>
    <w:tmpl w:val="215892F8"/>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5726CE4"/>
    <w:multiLevelType w:val="hybridMultilevel"/>
    <w:tmpl w:val="3998CC72"/>
    <w:lvl w:ilvl="0" w:tplc="8C9C9D5C">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6FA370B"/>
    <w:multiLevelType w:val="multilevel"/>
    <w:tmpl w:val="A262F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3A0A4C"/>
    <w:multiLevelType w:val="multilevel"/>
    <w:tmpl w:val="7C1CE5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8"/>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041821"/>
    <w:multiLevelType w:val="hybridMultilevel"/>
    <w:tmpl w:val="4C36499A"/>
    <w:lvl w:ilvl="0" w:tplc="A328DC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BEB439F"/>
    <w:multiLevelType w:val="hybridMultilevel"/>
    <w:tmpl w:val="C952CA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E584B67"/>
    <w:multiLevelType w:val="hybridMultilevel"/>
    <w:tmpl w:val="C108D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34"/>
  </w:num>
  <w:num w:numId="3">
    <w:abstractNumId w:val="3"/>
  </w:num>
  <w:num w:numId="4">
    <w:abstractNumId w:val="24"/>
  </w:num>
  <w:num w:numId="5">
    <w:abstractNumId w:val="19"/>
  </w:num>
  <w:num w:numId="6">
    <w:abstractNumId w:val="16"/>
  </w:num>
  <w:num w:numId="7">
    <w:abstractNumId w:val="22"/>
  </w:num>
  <w:num w:numId="8">
    <w:abstractNumId w:val="2"/>
  </w:num>
  <w:num w:numId="9">
    <w:abstractNumId w:val="33"/>
  </w:num>
  <w:num w:numId="10">
    <w:abstractNumId w:val="35"/>
  </w:num>
  <w:num w:numId="11">
    <w:abstractNumId w:val="20"/>
  </w:num>
  <w:num w:numId="12">
    <w:abstractNumId w:val="21"/>
  </w:num>
  <w:num w:numId="13">
    <w:abstractNumId w:val="47"/>
  </w:num>
  <w:num w:numId="14">
    <w:abstractNumId w:val="45"/>
  </w:num>
  <w:num w:numId="15">
    <w:abstractNumId w:val="1"/>
  </w:num>
  <w:num w:numId="16">
    <w:abstractNumId w:val="5"/>
  </w:num>
  <w:num w:numId="17">
    <w:abstractNumId w:val="0"/>
  </w:num>
  <w:num w:numId="18">
    <w:abstractNumId w:val="32"/>
  </w:num>
  <w:num w:numId="19">
    <w:abstractNumId w:val="28"/>
  </w:num>
  <w:num w:numId="20">
    <w:abstractNumId w:val="14"/>
  </w:num>
  <w:num w:numId="21">
    <w:abstractNumId w:val="17"/>
  </w:num>
  <w:num w:numId="22">
    <w:abstractNumId w:val="12"/>
  </w:num>
  <w:num w:numId="23">
    <w:abstractNumId w:val="46"/>
  </w:num>
  <w:num w:numId="24">
    <w:abstractNumId w:val="9"/>
  </w:num>
  <w:num w:numId="25">
    <w:abstractNumId w:val="29"/>
  </w:num>
  <w:num w:numId="26">
    <w:abstractNumId w:val="8"/>
  </w:num>
  <w:num w:numId="27">
    <w:abstractNumId w:val="44"/>
  </w:num>
  <w:num w:numId="28">
    <w:abstractNumId w:val="49"/>
  </w:num>
  <w:num w:numId="29">
    <w:abstractNumId w:val="4"/>
  </w:num>
  <w:num w:numId="30">
    <w:abstractNumId w:val="48"/>
  </w:num>
  <w:num w:numId="31">
    <w:abstractNumId w:val="26"/>
  </w:num>
  <w:num w:numId="32">
    <w:abstractNumId w:val="7"/>
  </w:num>
  <w:num w:numId="33">
    <w:abstractNumId w:val="36"/>
  </w:num>
  <w:num w:numId="34">
    <w:abstractNumId w:val="25"/>
  </w:num>
  <w:num w:numId="35">
    <w:abstractNumId w:val="6"/>
  </w:num>
  <w:num w:numId="36">
    <w:abstractNumId w:val="42"/>
  </w:num>
  <w:num w:numId="37">
    <w:abstractNumId w:val="10"/>
  </w:num>
  <w:num w:numId="38">
    <w:abstractNumId w:val="23"/>
  </w:num>
  <w:num w:numId="39">
    <w:abstractNumId w:val="13"/>
  </w:num>
  <w:num w:numId="40">
    <w:abstractNumId w:val="15"/>
  </w:num>
  <w:num w:numId="41">
    <w:abstractNumId w:val="18"/>
  </w:num>
  <w:num w:numId="42">
    <w:abstractNumId w:val="30"/>
  </w:num>
  <w:num w:numId="43">
    <w:abstractNumId w:val="43"/>
  </w:num>
  <w:num w:numId="44">
    <w:abstractNumId w:val="40"/>
  </w:num>
  <w:num w:numId="45">
    <w:abstractNumId w:val="39"/>
  </w:num>
  <w:num w:numId="46">
    <w:abstractNumId w:val="38"/>
  </w:num>
  <w:num w:numId="47">
    <w:abstractNumId w:val="31"/>
  </w:num>
  <w:num w:numId="48">
    <w:abstractNumId w:val="37"/>
  </w:num>
  <w:num w:numId="49">
    <w:abstractNumId w:val="27"/>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12"/>
    <w:rsid w:val="00137A12"/>
    <w:rsid w:val="001916F3"/>
    <w:rsid w:val="001A3EA3"/>
    <w:rsid w:val="00217C3D"/>
    <w:rsid w:val="003F7D85"/>
    <w:rsid w:val="00451F67"/>
    <w:rsid w:val="00461E6D"/>
    <w:rsid w:val="005341D8"/>
    <w:rsid w:val="006E3151"/>
    <w:rsid w:val="006F4C89"/>
    <w:rsid w:val="00747278"/>
    <w:rsid w:val="007727A8"/>
    <w:rsid w:val="008031EE"/>
    <w:rsid w:val="00825219"/>
    <w:rsid w:val="009068AB"/>
    <w:rsid w:val="00A37A1F"/>
    <w:rsid w:val="00AE78AC"/>
    <w:rsid w:val="00AF38FA"/>
    <w:rsid w:val="00BD2399"/>
    <w:rsid w:val="00C84F1A"/>
    <w:rsid w:val="00D52B7A"/>
    <w:rsid w:val="00D93500"/>
    <w:rsid w:val="00D97206"/>
    <w:rsid w:val="00DA29DA"/>
    <w:rsid w:val="00DF1AB3"/>
    <w:rsid w:val="00E52972"/>
    <w:rsid w:val="00F77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5A97"/>
  <w15:chartTrackingRefBased/>
  <w15:docId w15:val="{5595A819-969D-7D4D-B656-3DBB0B5E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219"/>
    <w:pPr>
      <w:ind w:firstLine="709"/>
    </w:pPr>
  </w:style>
  <w:style w:type="paragraph" w:styleId="1">
    <w:name w:val="heading 1"/>
    <w:basedOn w:val="a"/>
    <w:next w:val="a"/>
    <w:link w:val="10"/>
    <w:uiPriority w:val="9"/>
    <w:qFormat/>
    <w:rsid w:val="00137A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F4C8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BD2399"/>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BD2399"/>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747278"/>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КЛАССИКА"/>
    <w:basedOn w:val="a"/>
    <w:next w:val="a"/>
    <w:qFormat/>
    <w:rsid w:val="008031EE"/>
    <w:pPr>
      <w:spacing w:after="480" w:line="276" w:lineRule="auto"/>
      <w:jc w:val="both"/>
    </w:pPr>
    <w:rPr>
      <w:rFonts w:ascii="Times New Roman" w:eastAsia="Times New Roman" w:hAnsi="Times New Roman" w:cs="Times New Roman"/>
      <w:color w:val="000000" w:themeColor="text1"/>
      <w:szCs w:val="28"/>
    </w:rPr>
  </w:style>
  <w:style w:type="paragraph" w:customStyle="1" w:styleId="11">
    <w:name w:val="Заголовки 1 уровня Кей"/>
    <w:basedOn w:val="1"/>
    <w:next w:val="a"/>
    <w:qFormat/>
    <w:rsid w:val="00137A12"/>
    <w:pPr>
      <w:jc w:val="center"/>
    </w:pPr>
    <w:rPr>
      <w:rFonts w:ascii="Times New Roman" w:hAnsi="Times New Roman"/>
      <w:b/>
      <w:bCs/>
      <w:color w:val="000000" w:themeColor="text1"/>
      <w:sz w:val="28"/>
    </w:rPr>
  </w:style>
  <w:style w:type="paragraph" w:customStyle="1" w:styleId="21">
    <w:name w:val="Заголовки 2 уровня Кей"/>
    <w:basedOn w:val="11"/>
    <w:next w:val="a"/>
    <w:qFormat/>
    <w:rsid w:val="00C84F1A"/>
    <w:pPr>
      <w:ind w:left="708"/>
    </w:pPr>
    <w:rPr>
      <w:sz w:val="24"/>
    </w:rPr>
  </w:style>
  <w:style w:type="character" w:customStyle="1" w:styleId="10">
    <w:name w:val="Заголовок 1 Знак"/>
    <w:basedOn w:val="a0"/>
    <w:link w:val="1"/>
    <w:uiPriority w:val="9"/>
    <w:rsid w:val="00137A12"/>
    <w:rPr>
      <w:rFonts w:asciiTheme="majorHAnsi" w:eastAsiaTheme="majorEastAsia" w:hAnsiTheme="majorHAnsi" w:cstheme="majorBidi"/>
      <w:color w:val="2F5496" w:themeColor="accent1" w:themeShade="BF"/>
      <w:sz w:val="32"/>
      <w:szCs w:val="32"/>
    </w:rPr>
  </w:style>
  <w:style w:type="paragraph" w:styleId="a4">
    <w:name w:val="Normal (Web)"/>
    <w:basedOn w:val="a"/>
    <w:unhideWhenUsed/>
    <w:rsid w:val="00137A12"/>
    <w:pPr>
      <w:spacing w:before="75" w:after="100" w:afterAutospacing="1"/>
      <w:ind w:left="150" w:right="75"/>
    </w:pPr>
    <w:rPr>
      <w:rFonts w:ascii="Verdana" w:eastAsia="Times New Roman" w:hAnsi="Verdana" w:cs="Times New Roman"/>
      <w:sz w:val="21"/>
      <w:szCs w:val="21"/>
      <w:lang w:eastAsia="ru-RU"/>
    </w:rPr>
  </w:style>
  <w:style w:type="paragraph" w:styleId="a5">
    <w:name w:val="List Paragraph"/>
    <w:basedOn w:val="a"/>
    <w:uiPriority w:val="34"/>
    <w:qFormat/>
    <w:rsid w:val="00137A12"/>
    <w:pPr>
      <w:spacing w:after="200" w:line="276" w:lineRule="auto"/>
      <w:ind w:left="720"/>
      <w:contextualSpacing/>
    </w:pPr>
    <w:rPr>
      <w:sz w:val="22"/>
      <w:szCs w:val="22"/>
    </w:rPr>
  </w:style>
  <w:style w:type="character" w:styleId="a6">
    <w:name w:val="Strong"/>
    <w:basedOn w:val="a0"/>
    <w:uiPriority w:val="22"/>
    <w:qFormat/>
    <w:rsid w:val="00137A12"/>
    <w:rPr>
      <w:b/>
      <w:bCs/>
    </w:rPr>
  </w:style>
  <w:style w:type="character" w:customStyle="1" w:styleId="20">
    <w:name w:val="Заголовок 2 Знак"/>
    <w:basedOn w:val="a0"/>
    <w:link w:val="2"/>
    <w:uiPriority w:val="9"/>
    <w:semiHidden/>
    <w:rsid w:val="006F4C89"/>
    <w:rPr>
      <w:rFonts w:asciiTheme="majorHAnsi" w:eastAsiaTheme="majorEastAsia" w:hAnsiTheme="majorHAnsi" w:cstheme="majorBidi"/>
      <w:color w:val="2F5496" w:themeColor="accent1" w:themeShade="BF"/>
      <w:sz w:val="26"/>
      <w:szCs w:val="26"/>
    </w:rPr>
  </w:style>
  <w:style w:type="paragraph" w:styleId="a7">
    <w:name w:val="Body Text"/>
    <w:basedOn w:val="a"/>
    <w:link w:val="a8"/>
    <w:rsid w:val="006F4C89"/>
    <w:pPr>
      <w:spacing w:after="120"/>
    </w:pPr>
    <w:rPr>
      <w:rFonts w:ascii="Times New Roman" w:eastAsia="Times New Roman" w:hAnsi="Times New Roman" w:cs="Times New Roman"/>
      <w:lang w:eastAsia="ru-RU"/>
    </w:rPr>
  </w:style>
  <w:style w:type="character" w:customStyle="1" w:styleId="a8">
    <w:name w:val="Основной текст Знак"/>
    <w:basedOn w:val="a0"/>
    <w:link w:val="a7"/>
    <w:rsid w:val="006F4C89"/>
    <w:rPr>
      <w:rFonts w:ascii="Times New Roman" w:eastAsia="Times New Roman" w:hAnsi="Times New Roman" w:cs="Times New Roman"/>
      <w:lang w:eastAsia="ru-RU"/>
    </w:rPr>
  </w:style>
  <w:style w:type="paragraph" w:customStyle="1" w:styleId="12">
    <w:name w:val="Обычный1"/>
    <w:rsid w:val="00825219"/>
    <w:pPr>
      <w:widowControl w:val="0"/>
    </w:pPr>
    <w:rPr>
      <w:rFonts w:ascii="Times New Roman" w:eastAsia="Times New Roman" w:hAnsi="Times New Roman" w:cs="Times New Roman"/>
      <w:snapToGrid w:val="0"/>
      <w:szCs w:val="20"/>
      <w:lang w:eastAsia="ru-RU"/>
    </w:rPr>
  </w:style>
  <w:style w:type="character" w:styleId="a9">
    <w:name w:val="Hyperlink"/>
    <w:basedOn w:val="a0"/>
    <w:uiPriority w:val="99"/>
    <w:unhideWhenUsed/>
    <w:rsid w:val="006F4C89"/>
    <w:rPr>
      <w:color w:val="0000FF"/>
      <w:u w:val="single"/>
    </w:rPr>
  </w:style>
  <w:style w:type="character" w:customStyle="1" w:styleId="mw-headline">
    <w:name w:val="mw-headline"/>
    <w:basedOn w:val="a0"/>
    <w:rsid w:val="00461E6D"/>
  </w:style>
  <w:style w:type="character" w:customStyle="1" w:styleId="mw-editsection-bracket">
    <w:name w:val="mw-editsection-bracket"/>
    <w:basedOn w:val="a0"/>
    <w:rsid w:val="00461E6D"/>
  </w:style>
  <w:style w:type="character" w:customStyle="1" w:styleId="mw-editsection-divider">
    <w:name w:val="mw-editsection-divider"/>
    <w:basedOn w:val="a0"/>
    <w:rsid w:val="00461E6D"/>
  </w:style>
  <w:style w:type="character" w:customStyle="1" w:styleId="UnresolvedMention">
    <w:name w:val="Unresolved Mention"/>
    <w:basedOn w:val="a0"/>
    <w:uiPriority w:val="99"/>
    <w:semiHidden/>
    <w:unhideWhenUsed/>
    <w:rsid w:val="00BD2399"/>
    <w:rPr>
      <w:color w:val="605E5C"/>
      <w:shd w:val="clear" w:color="auto" w:fill="E1DFDD"/>
    </w:rPr>
  </w:style>
  <w:style w:type="paragraph" w:customStyle="1" w:styleId="headertext">
    <w:name w:val="headertext"/>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searchresult">
    <w:name w:val="search_result"/>
    <w:basedOn w:val="a0"/>
    <w:rsid w:val="00BD2399"/>
  </w:style>
  <w:style w:type="paragraph" w:customStyle="1" w:styleId="formattext">
    <w:name w:val="formattext"/>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30">
    <w:name w:val="Заголовок 3 Знак"/>
    <w:basedOn w:val="a0"/>
    <w:link w:val="3"/>
    <w:uiPriority w:val="9"/>
    <w:semiHidden/>
    <w:rsid w:val="00BD2399"/>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sid w:val="00BD2399"/>
    <w:rPr>
      <w:rFonts w:asciiTheme="majorHAnsi" w:eastAsiaTheme="majorEastAsia" w:hAnsiTheme="majorHAnsi" w:cstheme="majorBidi"/>
      <w:i/>
      <w:iCs/>
      <w:color w:val="2F5496" w:themeColor="accent1" w:themeShade="BF"/>
    </w:rPr>
  </w:style>
  <w:style w:type="paragraph" w:customStyle="1" w:styleId="mb-40">
    <w:name w:val="mb-40"/>
    <w:basedOn w:val="a"/>
    <w:rsid w:val="00BD2399"/>
    <w:pPr>
      <w:spacing w:before="100" w:beforeAutospacing="1" w:after="100" w:afterAutospacing="1"/>
    </w:pPr>
    <w:rPr>
      <w:rFonts w:ascii="Times New Roman" w:eastAsia="Times New Roman" w:hAnsi="Times New Roman" w:cs="Times New Roman"/>
      <w:lang w:eastAsia="ru-RU"/>
    </w:rPr>
  </w:style>
  <w:style w:type="paragraph" w:customStyle="1" w:styleId="mt-40">
    <w:name w:val="mt-40"/>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50">
    <w:name w:val="Заголовок 5 Знак"/>
    <w:basedOn w:val="a0"/>
    <w:link w:val="5"/>
    <w:uiPriority w:val="9"/>
    <w:semiHidden/>
    <w:rsid w:val="00747278"/>
    <w:rPr>
      <w:rFonts w:asciiTheme="majorHAnsi" w:eastAsiaTheme="majorEastAsia" w:hAnsiTheme="majorHAnsi" w:cstheme="majorBidi"/>
      <w:color w:val="2F5496" w:themeColor="accent1" w:themeShade="BF"/>
    </w:rPr>
  </w:style>
  <w:style w:type="paragraph" w:styleId="aa">
    <w:name w:val="Body Text Indent"/>
    <w:basedOn w:val="a"/>
    <w:link w:val="ab"/>
    <w:uiPriority w:val="99"/>
    <w:semiHidden/>
    <w:unhideWhenUsed/>
    <w:rsid w:val="00747278"/>
    <w:pPr>
      <w:spacing w:after="120"/>
      <w:ind w:left="283"/>
    </w:pPr>
  </w:style>
  <w:style w:type="character" w:customStyle="1" w:styleId="ab">
    <w:name w:val="Основной текст с отступом Знак"/>
    <w:basedOn w:val="a0"/>
    <w:link w:val="aa"/>
    <w:uiPriority w:val="99"/>
    <w:semiHidden/>
    <w:rsid w:val="00747278"/>
  </w:style>
  <w:style w:type="paragraph" w:styleId="ac">
    <w:name w:val="footnote text"/>
    <w:basedOn w:val="a"/>
    <w:link w:val="ad"/>
    <w:uiPriority w:val="99"/>
    <w:semiHidden/>
    <w:rsid w:val="00747278"/>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747278"/>
    <w:rPr>
      <w:rFonts w:ascii="Times New Roman" w:eastAsia="Times New Roman" w:hAnsi="Times New Roman" w:cs="Times New Roman"/>
      <w:sz w:val="20"/>
      <w:szCs w:val="20"/>
      <w:lang w:eastAsia="ru-RU"/>
    </w:rPr>
  </w:style>
  <w:style w:type="character" w:styleId="ae">
    <w:name w:val="footnote reference"/>
    <w:basedOn w:val="a0"/>
    <w:semiHidden/>
    <w:rsid w:val="00747278"/>
    <w:rPr>
      <w:vertAlign w:val="superscript"/>
    </w:rPr>
  </w:style>
  <w:style w:type="paragraph" w:customStyle="1" w:styleId="210">
    <w:name w:val="Основной текст 21"/>
    <w:basedOn w:val="12"/>
    <w:rsid w:val="00747278"/>
    <w:pPr>
      <w:widowControl/>
      <w:ind w:firstLine="709"/>
      <w:jc w:val="both"/>
    </w:pPr>
    <w:rPr>
      <w:snapToGrid/>
    </w:rPr>
  </w:style>
  <w:style w:type="paragraph" w:customStyle="1" w:styleId="13">
    <w:name w:val="Основной текст1"/>
    <w:basedOn w:val="12"/>
    <w:rsid w:val="00747278"/>
    <w:pPr>
      <w:widowControl/>
      <w:jc w:val="both"/>
    </w:pPr>
    <w:rPr>
      <w:snapToGrid/>
    </w:rPr>
  </w:style>
  <w:style w:type="paragraph" w:styleId="af">
    <w:name w:val="TOC Heading"/>
    <w:basedOn w:val="1"/>
    <w:next w:val="a"/>
    <w:uiPriority w:val="39"/>
    <w:unhideWhenUsed/>
    <w:qFormat/>
    <w:rsid w:val="00C84F1A"/>
    <w:pPr>
      <w:spacing w:line="259" w:lineRule="auto"/>
      <w:outlineLvl w:val="9"/>
    </w:pPr>
    <w:rPr>
      <w:lang w:eastAsia="ru-RU"/>
    </w:rPr>
  </w:style>
  <w:style w:type="paragraph" w:styleId="14">
    <w:name w:val="toc 1"/>
    <w:basedOn w:val="a"/>
    <w:next w:val="a"/>
    <w:autoRedefine/>
    <w:uiPriority w:val="39"/>
    <w:unhideWhenUsed/>
    <w:rsid w:val="00C84F1A"/>
    <w:pPr>
      <w:tabs>
        <w:tab w:val="right" w:leader="dot" w:pos="9339"/>
      </w:tabs>
      <w:spacing w:after="100"/>
      <w:outlineLvl w:val="0"/>
    </w:pPr>
  </w:style>
  <w:style w:type="paragraph" w:styleId="31">
    <w:name w:val="toc 3"/>
    <w:basedOn w:val="a"/>
    <w:next w:val="a"/>
    <w:autoRedefine/>
    <w:uiPriority w:val="39"/>
    <w:unhideWhenUsed/>
    <w:rsid w:val="00C84F1A"/>
    <w:pPr>
      <w:spacing w:after="100"/>
      <w:ind w:left="480"/>
    </w:pPr>
  </w:style>
  <w:style w:type="paragraph" w:styleId="22">
    <w:name w:val="toc 2"/>
    <w:basedOn w:val="a"/>
    <w:next w:val="a"/>
    <w:autoRedefine/>
    <w:uiPriority w:val="39"/>
    <w:unhideWhenUsed/>
    <w:rsid w:val="00C84F1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45235">
      <w:bodyDiv w:val="1"/>
      <w:marLeft w:val="0"/>
      <w:marRight w:val="0"/>
      <w:marTop w:val="0"/>
      <w:marBottom w:val="0"/>
      <w:divBdr>
        <w:top w:val="none" w:sz="0" w:space="0" w:color="auto"/>
        <w:left w:val="none" w:sz="0" w:space="0" w:color="auto"/>
        <w:bottom w:val="none" w:sz="0" w:space="0" w:color="auto"/>
        <w:right w:val="none" w:sz="0" w:space="0" w:color="auto"/>
      </w:divBdr>
    </w:div>
    <w:div w:id="284432096">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549999277">
      <w:bodyDiv w:val="1"/>
      <w:marLeft w:val="0"/>
      <w:marRight w:val="0"/>
      <w:marTop w:val="0"/>
      <w:marBottom w:val="0"/>
      <w:divBdr>
        <w:top w:val="none" w:sz="0" w:space="0" w:color="auto"/>
        <w:left w:val="none" w:sz="0" w:space="0" w:color="auto"/>
        <w:bottom w:val="none" w:sz="0" w:space="0" w:color="auto"/>
        <w:right w:val="none" w:sz="0" w:space="0" w:color="auto"/>
      </w:divBdr>
      <w:divsChild>
        <w:div w:id="474836626">
          <w:marLeft w:val="0"/>
          <w:marRight w:val="0"/>
          <w:marTop w:val="0"/>
          <w:marBottom w:val="0"/>
          <w:divBdr>
            <w:top w:val="none" w:sz="0" w:space="0" w:color="auto"/>
            <w:left w:val="none" w:sz="0" w:space="0" w:color="auto"/>
            <w:bottom w:val="none" w:sz="0" w:space="0" w:color="auto"/>
            <w:right w:val="none" w:sz="0" w:space="0" w:color="auto"/>
          </w:divBdr>
        </w:div>
        <w:div w:id="1948075601">
          <w:marLeft w:val="0"/>
          <w:marRight w:val="0"/>
          <w:marTop w:val="120"/>
          <w:marBottom w:val="0"/>
          <w:divBdr>
            <w:top w:val="none" w:sz="0" w:space="0" w:color="auto"/>
            <w:left w:val="none" w:sz="0" w:space="0" w:color="auto"/>
            <w:bottom w:val="none" w:sz="0" w:space="0" w:color="auto"/>
            <w:right w:val="none" w:sz="0" w:space="0" w:color="auto"/>
          </w:divBdr>
        </w:div>
      </w:divsChild>
    </w:div>
    <w:div w:id="671220700">
      <w:bodyDiv w:val="1"/>
      <w:marLeft w:val="0"/>
      <w:marRight w:val="0"/>
      <w:marTop w:val="0"/>
      <w:marBottom w:val="0"/>
      <w:divBdr>
        <w:top w:val="none" w:sz="0" w:space="0" w:color="auto"/>
        <w:left w:val="none" w:sz="0" w:space="0" w:color="auto"/>
        <w:bottom w:val="none" w:sz="0" w:space="0" w:color="auto"/>
        <w:right w:val="none" w:sz="0" w:space="0" w:color="auto"/>
      </w:divBdr>
    </w:div>
    <w:div w:id="827020296">
      <w:bodyDiv w:val="1"/>
      <w:marLeft w:val="0"/>
      <w:marRight w:val="0"/>
      <w:marTop w:val="0"/>
      <w:marBottom w:val="0"/>
      <w:divBdr>
        <w:top w:val="none" w:sz="0" w:space="0" w:color="auto"/>
        <w:left w:val="none" w:sz="0" w:space="0" w:color="auto"/>
        <w:bottom w:val="none" w:sz="0" w:space="0" w:color="auto"/>
        <w:right w:val="none" w:sz="0" w:space="0" w:color="auto"/>
      </w:divBdr>
    </w:div>
    <w:div w:id="1378161940">
      <w:bodyDiv w:val="1"/>
      <w:marLeft w:val="0"/>
      <w:marRight w:val="0"/>
      <w:marTop w:val="0"/>
      <w:marBottom w:val="0"/>
      <w:divBdr>
        <w:top w:val="none" w:sz="0" w:space="0" w:color="auto"/>
        <w:left w:val="none" w:sz="0" w:space="0" w:color="auto"/>
        <w:bottom w:val="none" w:sz="0" w:space="0" w:color="auto"/>
        <w:right w:val="none" w:sz="0" w:space="0" w:color="auto"/>
      </w:divBdr>
    </w:div>
    <w:div w:id="1583679963">
      <w:bodyDiv w:val="1"/>
      <w:marLeft w:val="0"/>
      <w:marRight w:val="0"/>
      <w:marTop w:val="0"/>
      <w:marBottom w:val="0"/>
      <w:divBdr>
        <w:top w:val="none" w:sz="0" w:space="0" w:color="auto"/>
        <w:left w:val="none" w:sz="0" w:space="0" w:color="auto"/>
        <w:bottom w:val="none" w:sz="0" w:space="0" w:color="auto"/>
        <w:right w:val="none" w:sz="0" w:space="0" w:color="auto"/>
      </w:divBdr>
    </w:div>
    <w:div w:id="1651976963">
      <w:bodyDiv w:val="1"/>
      <w:marLeft w:val="0"/>
      <w:marRight w:val="0"/>
      <w:marTop w:val="0"/>
      <w:marBottom w:val="0"/>
      <w:divBdr>
        <w:top w:val="none" w:sz="0" w:space="0" w:color="auto"/>
        <w:left w:val="none" w:sz="0" w:space="0" w:color="auto"/>
        <w:bottom w:val="none" w:sz="0" w:space="0" w:color="auto"/>
        <w:right w:val="none" w:sz="0" w:space="0" w:color="auto"/>
      </w:divBdr>
    </w:div>
    <w:div w:id="1897661890">
      <w:bodyDiv w:val="1"/>
      <w:marLeft w:val="0"/>
      <w:marRight w:val="0"/>
      <w:marTop w:val="0"/>
      <w:marBottom w:val="0"/>
      <w:divBdr>
        <w:top w:val="none" w:sz="0" w:space="0" w:color="auto"/>
        <w:left w:val="none" w:sz="0" w:space="0" w:color="auto"/>
        <w:bottom w:val="none" w:sz="0" w:space="0" w:color="auto"/>
        <w:right w:val="none" w:sz="0" w:space="0" w:color="auto"/>
      </w:divBdr>
    </w:div>
    <w:div w:id="1945070569">
      <w:bodyDiv w:val="1"/>
      <w:marLeft w:val="0"/>
      <w:marRight w:val="0"/>
      <w:marTop w:val="0"/>
      <w:marBottom w:val="0"/>
      <w:divBdr>
        <w:top w:val="none" w:sz="0" w:space="0" w:color="auto"/>
        <w:left w:val="none" w:sz="0" w:space="0" w:color="auto"/>
        <w:bottom w:val="none" w:sz="0" w:space="0" w:color="auto"/>
        <w:right w:val="none" w:sz="0" w:space="0" w:color="auto"/>
      </w:divBdr>
    </w:div>
    <w:div w:id="214153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grandars.ru/college/strahovanie/strahovanie-otvetstvennosti.html" TargetMode="External"/><Relationship Id="rId18" Type="http://schemas.openxmlformats.org/officeDocument/2006/relationships/hyperlink" Target="http://www.grandars.ru/student/bankovskoe-delo/denezhno-kreditnaya-politik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dars.ru/college/strahovanie/strahovanie-imushchestva.html" TargetMode="External"/><Relationship Id="rId17" Type="http://schemas.openxmlformats.org/officeDocument/2006/relationships/hyperlink" Target="http://www.grandars.ru/student/bankovskoe-delo/denezhno-kreditnaya-politika.html" TargetMode="External"/><Relationship Id="rId2" Type="http://schemas.openxmlformats.org/officeDocument/2006/relationships/numbering" Target="numbering.xml"/><Relationship Id="rId16" Type="http://schemas.openxmlformats.org/officeDocument/2006/relationships/hyperlink" Target="http://www.grandars.ru/college/pravovedenie/yuridicheskoe-lico.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dars.ru/college/strahovanie/strahovanie-zhizni.html" TargetMode="External"/><Relationship Id="rId5" Type="http://schemas.openxmlformats.org/officeDocument/2006/relationships/webSettings" Target="webSettings.xml"/><Relationship Id="rId15" Type="http://schemas.openxmlformats.org/officeDocument/2006/relationships/hyperlink" Target="http://www.grandars.ru/student/finansy/cb.html" TargetMode="External"/><Relationship Id="rId10" Type="http://schemas.openxmlformats.org/officeDocument/2006/relationships/hyperlink" Target="http://www.grandars.ru/student/finansy/pensionnyy-fond.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andars.ru/student/finansy/emissiya-deneg.html" TargetMode="External"/><Relationship Id="rId14" Type="http://schemas.openxmlformats.org/officeDocument/2006/relationships/hyperlink" Target="http://www.grandars.ru/college/strahovanie/strahovoy-fond.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3EBFD-C712-4382-A3D0-A8B0DAB1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3353</Words>
  <Characters>19115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Козлова</dc:creator>
  <cp:keywords/>
  <dc:description/>
  <cp:lastModifiedBy>Пользователь</cp:lastModifiedBy>
  <cp:revision>6</cp:revision>
  <dcterms:created xsi:type="dcterms:W3CDTF">2024-12-13T12:39:00Z</dcterms:created>
  <dcterms:modified xsi:type="dcterms:W3CDTF">2025-01-24T07:06:00Z</dcterms:modified>
</cp:coreProperties>
</file>