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C686B" w14:textId="77777777" w:rsidR="00BE03C5" w:rsidRPr="00BD293E" w:rsidRDefault="00000000" w:rsidP="00BD293E">
      <w:pPr>
        <w:ind w:firstLine="709"/>
        <w:jc w:val="center"/>
        <w:rPr>
          <w:color w:val="000000"/>
        </w:rPr>
      </w:pPr>
      <w:r w:rsidRPr="00BD293E">
        <w:rPr>
          <w:rFonts w:ascii="Times New Roman" w:hAnsi="Times New Roman"/>
          <w:color w:val="000000"/>
        </w:rPr>
        <w:t>СЕРЕБРЯНЫЙ ВЕК РУССКОЙ ПОЭЗИИ</w:t>
      </w:r>
    </w:p>
    <w:p w14:paraId="183E8D57" w14:textId="77777777" w:rsidR="00BE03C5" w:rsidRPr="00BD293E" w:rsidRDefault="00BE03C5" w:rsidP="00BD293E">
      <w:pPr>
        <w:ind w:firstLine="709"/>
        <w:jc w:val="both"/>
        <w:rPr>
          <w:rFonts w:ascii="Times New Roman" w:hAnsi="Times New Roman"/>
        </w:rPr>
      </w:pPr>
    </w:p>
    <w:p w14:paraId="32C10C7C" w14:textId="77777777" w:rsidR="00BE03C5" w:rsidRPr="00BD293E" w:rsidRDefault="00000000" w:rsidP="00BD293E">
      <w:pPr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>Серебряный век – образное название периода в истории русской поэзии, относящегося к началу XX века и данное по аналогии с «Золотым веком» (первая треть XIX века).</w:t>
      </w:r>
    </w:p>
    <w:p w14:paraId="3308CEA2" w14:textId="77777777" w:rsidR="00BE03C5" w:rsidRPr="00BD293E" w:rsidRDefault="00000000" w:rsidP="00BD293E">
      <w:pPr>
        <w:ind w:firstLine="709"/>
        <w:jc w:val="both"/>
        <w:rPr>
          <w:rFonts w:ascii="Times New Roman" w:hAnsi="Times New Roman"/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Эпоха рубежа веков получила название «Серебряного века» уже после ее завершения. Понятие возникло в среде русской эмиграции, ретроспективно оценившей ушедшее время как второй расцвет русской культуры после «Золотого века», которым часто называли пушкинскую эпоху, то есть первую треть XIX века. </w:t>
      </w:r>
    </w:p>
    <w:p w14:paraId="73EBF1AB" w14:textId="77777777" w:rsidR="00BE03C5" w:rsidRPr="00BD293E" w:rsidRDefault="00BE03C5" w:rsidP="00BD293E">
      <w:pPr>
        <w:ind w:firstLine="709"/>
        <w:jc w:val="both"/>
        <w:rPr>
          <w:rFonts w:ascii="Times New Roman" w:hAnsi="Times New Roman"/>
          <w:color w:val="000000"/>
        </w:rPr>
      </w:pPr>
    </w:p>
    <w:p w14:paraId="3DA31EA3" w14:textId="77777777" w:rsidR="00BE03C5" w:rsidRPr="00BD293E" w:rsidRDefault="00000000" w:rsidP="00BD293E">
      <w:pPr>
        <w:ind w:firstLine="709"/>
        <w:jc w:val="both"/>
        <w:rPr>
          <w:rFonts w:ascii="Times New Roman" w:hAnsi="Times New Roman"/>
          <w:b/>
          <w:bCs/>
          <w:color w:val="000000"/>
        </w:rPr>
      </w:pPr>
      <w:r w:rsidRPr="00BD293E">
        <w:rPr>
          <w:rFonts w:ascii="Times New Roman" w:hAnsi="Times New Roman"/>
          <w:b/>
          <w:bCs/>
          <w:color w:val="000000"/>
        </w:rPr>
        <w:t xml:space="preserve">Представители поэзии серебряного века: </w:t>
      </w:r>
      <w:r w:rsidRPr="00BD293E">
        <w:rPr>
          <w:rFonts w:ascii="Times New Roman" w:hAnsi="Times New Roman"/>
          <w:color w:val="000000"/>
        </w:rPr>
        <w:t>К. Бальмонт, А. Блок, Д. Бедный, М. Волошин, Н. Гумилёв, З. Гиппиус, Н. Заболоцкий, Н. Клюев, С. Клычков, А. Кручёных, О.Э. Мандельштам, В. Маяковский, Д. Мережковский, Д. Хармс, В. Хлебников, М. Цветаева и др.</w:t>
      </w:r>
    </w:p>
    <w:p w14:paraId="35DB343F" w14:textId="77777777" w:rsidR="00BE03C5" w:rsidRPr="00BD293E" w:rsidRDefault="00BE03C5" w:rsidP="00BD293E">
      <w:pPr>
        <w:ind w:firstLine="709"/>
        <w:jc w:val="both"/>
      </w:pPr>
    </w:p>
    <w:p w14:paraId="35703758" w14:textId="77777777" w:rsidR="00BE03C5" w:rsidRPr="00BD293E" w:rsidRDefault="00000000" w:rsidP="00BD293E">
      <w:pPr>
        <w:ind w:firstLine="709"/>
        <w:jc w:val="both"/>
        <w:rPr>
          <w:rFonts w:ascii="Times New Roman" w:hAnsi="Times New Roman"/>
          <w:b/>
          <w:bCs/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Поэты Серебряного века формировали направления более чем осознанно — и у каждого из них была своя идеология и художественные принципы. </w:t>
      </w:r>
    </w:p>
    <w:p w14:paraId="2D07F85F" w14:textId="77777777" w:rsidR="00BE03C5" w:rsidRPr="00BD293E" w:rsidRDefault="00BE03C5" w:rsidP="00BD293E">
      <w:pPr>
        <w:ind w:firstLine="709"/>
        <w:jc w:val="both"/>
      </w:pPr>
    </w:p>
    <w:p w14:paraId="25D02057" w14:textId="77777777" w:rsidR="00BE03C5" w:rsidRPr="00BD293E" w:rsidRDefault="00000000" w:rsidP="00BD293E">
      <w:pPr>
        <w:ind w:firstLine="709"/>
        <w:jc w:val="center"/>
        <w:rPr>
          <w:rFonts w:ascii="Times New Roman" w:hAnsi="Times New Roman"/>
          <w:b/>
          <w:bCs/>
          <w:color w:val="000000"/>
        </w:rPr>
      </w:pPr>
      <w:r w:rsidRPr="00BD293E">
        <w:rPr>
          <w:rFonts w:ascii="Times New Roman" w:hAnsi="Times New Roman"/>
          <w:b/>
          <w:bCs/>
          <w:color w:val="000000"/>
        </w:rPr>
        <w:t>СИМВОЛИЗМ</w:t>
      </w:r>
    </w:p>
    <w:p w14:paraId="3C757C8D" w14:textId="77777777" w:rsidR="00BE03C5" w:rsidRPr="00BD293E" w:rsidRDefault="00BE03C5" w:rsidP="00BD293E">
      <w:pPr>
        <w:ind w:firstLine="709"/>
        <w:jc w:val="center"/>
      </w:pPr>
    </w:p>
    <w:p w14:paraId="023809FD" w14:textId="77777777" w:rsidR="00BE03C5" w:rsidRPr="00BD293E" w:rsidRDefault="00000000" w:rsidP="00BD293E">
      <w:pPr>
        <w:ind w:firstLine="709"/>
        <w:jc w:val="both"/>
        <w:rPr>
          <w:rFonts w:ascii="Times New Roman" w:hAnsi="Times New Roman"/>
          <w:b/>
          <w:bCs/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Самое раннее из литературных направлений Серебряного века — символизм — не было изобретено отечественными авторами: этот термин родился среди французских поэтов. Однако в России он был переосмыслен и получил новое развитие. Более того, направление стало настолько популярно, что работавшие в его рамках авторы разделились на «поколения» старших и младших символистов. </w:t>
      </w:r>
    </w:p>
    <w:p w14:paraId="3AE3DD71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Символизм как направление исповедует мистическую идею дуализма, согласно которой жизнь разделена на 2 обособленные части: реальную (повседневность во всех ее проявлениях) и идеальную, лежащую за границей человеческого знания. Их произведения обладают 2-ным смыслом – явным и скрытым. Обыкновенная картина жизни имеет подтекст, содержит иносказание. В поэзии символизма слову придается магическое значение. Т.О., поэтическая речь становится средством магического внушения.</w:t>
      </w:r>
    </w:p>
    <w:p w14:paraId="52B30A2C" w14:textId="77777777" w:rsidR="00BE03C5" w:rsidRPr="00BD293E" w:rsidRDefault="00000000" w:rsidP="00BD293E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Культурный энциклопедизм, или «эпидемия всемирности» - серьезная филологическая ученость, специальное изучение.</w:t>
      </w:r>
    </w:p>
    <w:p w14:paraId="399A2DD3" w14:textId="77777777" w:rsidR="00BE03C5" w:rsidRPr="00BD293E" w:rsidRDefault="00000000" w:rsidP="00BD293E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Рефлексивность – творчество направлено на себя, на самоанализ.</w:t>
      </w:r>
    </w:p>
    <w:p w14:paraId="6ADCCA72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</w:rPr>
      </w:pPr>
    </w:p>
    <w:p w14:paraId="334F6C9A" w14:textId="77777777" w:rsidR="00BE03C5" w:rsidRPr="00BD293E" w:rsidRDefault="00000000" w:rsidP="00BD293E">
      <w:pPr>
        <w:pStyle w:val="ac"/>
        <w:spacing w:beforeAutospacing="0" w:afterAutospacing="0"/>
        <w:ind w:firstLine="709"/>
        <w:jc w:val="both"/>
        <w:textAlignment w:val="baseline"/>
        <w:rPr>
          <w:color w:val="000000"/>
        </w:rPr>
      </w:pPr>
      <w:r w:rsidRPr="00BD293E">
        <w:rPr>
          <w:color w:val="000000"/>
        </w:rPr>
        <w:t>В русском символизме различают:</w:t>
      </w:r>
    </w:p>
    <w:p w14:paraId="09062D16" w14:textId="77777777" w:rsidR="00BE03C5" w:rsidRPr="00BD293E" w:rsidRDefault="00000000" w:rsidP="00BD293E">
      <w:pPr>
        <w:numPr>
          <w:ilvl w:val="0"/>
          <w:numId w:val="2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Style w:val="a5"/>
          <w:rFonts w:ascii="Times New Roman" w:hAnsi="Times New Roman" w:cs="Times New Roman"/>
          <w:color w:val="000000"/>
        </w:rPr>
        <w:t xml:space="preserve">«старшее </w:t>
      </w:r>
      <w:proofErr w:type="gramStart"/>
      <w:r w:rsidRPr="00BD293E">
        <w:rPr>
          <w:rStyle w:val="a5"/>
          <w:rFonts w:ascii="Times New Roman" w:hAnsi="Times New Roman" w:cs="Times New Roman"/>
          <w:color w:val="000000"/>
        </w:rPr>
        <w:t>поколение»</w:t>
      </w:r>
      <w:r w:rsidRPr="00BD293E">
        <w:rPr>
          <w:rFonts w:ascii="Times New Roman" w:hAnsi="Times New Roman" w:cs="Times New Roman"/>
          <w:color w:val="000000"/>
        </w:rPr>
        <w:t>  —</w:t>
      </w:r>
      <w:proofErr w:type="gramEnd"/>
      <w:r w:rsidRPr="00BD293E">
        <w:rPr>
          <w:rFonts w:ascii="Times New Roman" w:hAnsi="Times New Roman" w:cs="Times New Roman"/>
          <w:color w:val="000000"/>
        </w:rPr>
        <w:t xml:space="preserve"> представители: </w:t>
      </w:r>
      <w:proofErr w:type="spellStart"/>
      <w:r w:rsidRPr="00BD293E">
        <w:rPr>
          <w:rFonts w:ascii="Times New Roman" w:hAnsi="Times New Roman" w:cs="Times New Roman"/>
          <w:color w:val="000000"/>
        </w:rPr>
        <w:t>Д.Мережковский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А.Добролюбов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З.Гиппиус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К.Бальмонт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Н.Минский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Ф.Сологуб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В.Брюсов</w:t>
      </w:r>
      <w:proofErr w:type="spellEnd"/>
    </w:p>
    <w:p w14:paraId="4CFC5000" w14:textId="77777777" w:rsidR="00BE03C5" w:rsidRPr="00BD293E" w:rsidRDefault="00000000" w:rsidP="00BD293E">
      <w:pPr>
        <w:numPr>
          <w:ilvl w:val="0"/>
          <w:numId w:val="2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Style w:val="a5"/>
          <w:rFonts w:ascii="Times New Roman" w:hAnsi="Times New Roman" w:cs="Times New Roman"/>
          <w:color w:val="000000"/>
        </w:rPr>
        <w:t>«младшее поколение»</w:t>
      </w:r>
      <w:r w:rsidRPr="00BD293E">
        <w:rPr>
          <w:rFonts w:ascii="Times New Roman" w:hAnsi="Times New Roman" w:cs="Times New Roman"/>
          <w:color w:val="000000"/>
        </w:rPr>
        <w:t xml:space="preserve"> — </w:t>
      </w:r>
      <w:proofErr w:type="spellStart"/>
      <w:r w:rsidRPr="00BD293E">
        <w:rPr>
          <w:rFonts w:ascii="Times New Roman" w:hAnsi="Times New Roman" w:cs="Times New Roman"/>
          <w:color w:val="000000"/>
        </w:rPr>
        <w:t>младосимволисты</w:t>
      </w:r>
      <w:proofErr w:type="spellEnd"/>
      <w:r w:rsidRPr="00BD293E">
        <w:rPr>
          <w:rFonts w:ascii="Times New Roman" w:hAnsi="Times New Roman" w:cs="Times New Roman"/>
          <w:color w:val="000000"/>
        </w:rPr>
        <w:t>  — </w:t>
      </w:r>
      <w:proofErr w:type="spellStart"/>
      <w:r w:rsidRPr="00BD293E">
        <w:fldChar w:fldCharType="begin"/>
      </w:r>
      <w:r w:rsidRPr="00BD293E">
        <w:instrText>HYPERLINK "http://velikayakultura.ru/russkaya-kritika-2/kritika-poetov-serebryanogo-veka-belyiy-gumilev-blok" \h</w:instrText>
      </w:r>
      <w:r w:rsidRPr="00BD293E">
        <w:fldChar w:fldCharType="separate"/>
      </w:r>
      <w:r w:rsidRPr="00BD293E">
        <w:rPr>
          <w:rFonts w:ascii="Times New Roman" w:hAnsi="Times New Roman" w:cs="Times New Roman"/>
          <w:color w:val="000000"/>
        </w:rPr>
        <w:t>А.Блок</w:t>
      </w:r>
      <w:proofErr w:type="spellEnd"/>
      <w:r w:rsidRPr="00BD293E">
        <w:rPr>
          <w:rFonts w:ascii="Times New Roman" w:hAnsi="Times New Roman" w:cs="Times New Roman"/>
          <w:color w:val="000000"/>
        </w:rPr>
        <w:t>,</w:t>
      </w:r>
      <w:r w:rsidRPr="00BD293E">
        <w:fldChar w:fldCharType="end"/>
      </w:r>
      <w:r w:rsidRPr="00BD293E">
        <w:rPr>
          <w:rFonts w:ascii="Times New Roman" w:hAnsi="Times New Roman" w:cs="Times New Roman"/>
          <w:color w:val="000000"/>
        </w:rPr>
        <w:t> </w:t>
      </w:r>
      <w:proofErr w:type="spellStart"/>
      <w:r w:rsidRPr="00BD293E">
        <w:rPr>
          <w:rFonts w:ascii="Times New Roman" w:hAnsi="Times New Roman" w:cs="Times New Roman"/>
          <w:color w:val="000000"/>
        </w:rPr>
        <w:t>А.Белый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Вяч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. Иванов, </w:t>
      </w:r>
      <w:proofErr w:type="spellStart"/>
      <w:r w:rsidRPr="00BD293E">
        <w:rPr>
          <w:rFonts w:ascii="Times New Roman" w:hAnsi="Times New Roman" w:cs="Times New Roman"/>
          <w:color w:val="000000"/>
        </w:rPr>
        <w:t>С.Соловьев</w:t>
      </w:r>
      <w:proofErr w:type="spellEnd"/>
      <w:r w:rsidRPr="00BD293E">
        <w:rPr>
          <w:rFonts w:ascii="Times New Roman" w:hAnsi="Times New Roman" w:cs="Times New Roman"/>
          <w:color w:val="000000"/>
        </w:rPr>
        <w:t>, Ю. Балтрушайтис и др.</w:t>
      </w:r>
      <w:r w:rsidRPr="00BD293E">
        <w:rPr>
          <w:rFonts w:ascii="Times New Roman" w:hAnsi="Times New Roman" w:cs="Times New Roman"/>
          <w:color w:val="000000"/>
        </w:rPr>
        <w:br/>
      </w:r>
    </w:p>
    <w:p w14:paraId="0695F3E2" w14:textId="77777777" w:rsidR="00BE03C5" w:rsidRPr="00BD293E" w:rsidRDefault="00000000" w:rsidP="00BD293E">
      <w:pPr>
        <w:jc w:val="center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Style w:val="a5"/>
          <w:rFonts w:ascii="Times New Roman" w:hAnsi="Times New Roman" w:cs="Times New Roman"/>
          <w:color w:val="000000"/>
        </w:rPr>
        <w:t>Основные черты символизма</w:t>
      </w:r>
    </w:p>
    <w:p w14:paraId="41B9DD73" w14:textId="77777777" w:rsidR="00BE03C5" w:rsidRPr="00BD293E" w:rsidRDefault="00BE03C5" w:rsidP="00BD293E">
      <w:pPr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12714F09" w14:textId="77777777" w:rsidR="00BE03C5" w:rsidRPr="00BD293E" w:rsidRDefault="00000000" w:rsidP="00BD293E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идея о двух мирах (реальном несовершенном и потустороннем идеальном)</w:t>
      </w:r>
    </w:p>
    <w:p w14:paraId="1FF1BFF9" w14:textId="77777777" w:rsidR="00BE03C5" w:rsidRPr="00BD293E" w:rsidRDefault="00000000" w:rsidP="00BD293E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отражение действительности в символах, образах, которых наряду с первоначальным началом, предполагается «идеальный смысл»</w:t>
      </w:r>
    </w:p>
    <w:p w14:paraId="185E73AC" w14:textId="77777777" w:rsidR="00BE03C5" w:rsidRPr="00BD293E" w:rsidRDefault="00000000" w:rsidP="00BD293E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особый взгляд на интуицию как посредника в постижении и изображении мира</w:t>
      </w:r>
    </w:p>
    <w:p w14:paraId="7A885A82" w14:textId="77777777" w:rsidR="00BE03C5" w:rsidRPr="00BD293E" w:rsidRDefault="00000000" w:rsidP="00BD293E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разработка звукописи как особого поэтического приема</w:t>
      </w:r>
    </w:p>
    <w:p w14:paraId="5C0522F0" w14:textId="77777777" w:rsidR="00BE03C5" w:rsidRPr="00BD293E" w:rsidRDefault="00000000" w:rsidP="00BD293E">
      <w:pPr>
        <w:numPr>
          <w:ilvl w:val="0"/>
          <w:numId w:val="4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мистическое постижение мира</w:t>
      </w:r>
    </w:p>
    <w:p w14:paraId="4C1A38D0" w14:textId="77777777" w:rsidR="00BE03C5" w:rsidRPr="00BD293E" w:rsidRDefault="00000000" w:rsidP="00BD293E">
      <w:pPr>
        <w:numPr>
          <w:ilvl w:val="0"/>
          <w:numId w:val="4"/>
        </w:numPr>
        <w:ind w:left="0"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отрицание реализма</w:t>
      </w:r>
    </w:p>
    <w:p w14:paraId="2502656C" w14:textId="77777777" w:rsidR="00BE03C5" w:rsidRPr="00BD293E" w:rsidRDefault="00000000" w:rsidP="00BD293E">
      <w:pPr>
        <w:pStyle w:val="ac"/>
        <w:spacing w:beforeAutospacing="0" w:afterAutospacing="0"/>
        <w:ind w:firstLine="709"/>
        <w:jc w:val="both"/>
        <w:textAlignment w:val="baseline"/>
        <w:rPr>
          <w:color w:val="000000"/>
        </w:rPr>
      </w:pPr>
      <w:r w:rsidRPr="00BD293E">
        <w:rPr>
          <w:color w:val="000000"/>
        </w:rPr>
        <w:t>Русские символисты по-новому осмыслили роль личности не только в творчестве, но и в русской действительности, да и жизни вообще.</w:t>
      </w:r>
    </w:p>
    <w:p w14:paraId="67F99C40" w14:textId="77777777" w:rsidR="00BE03C5" w:rsidRPr="00BD293E" w:rsidRDefault="00000000" w:rsidP="00BD293E">
      <w:pPr>
        <w:pStyle w:val="ac"/>
        <w:spacing w:beforeAutospacing="0" w:afterAutospacing="0"/>
        <w:ind w:firstLine="709"/>
        <w:jc w:val="both"/>
        <w:rPr>
          <w:color w:val="000000"/>
        </w:rPr>
      </w:pPr>
      <w:r w:rsidRPr="00BD293E">
        <w:rPr>
          <w:color w:val="000000"/>
        </w:rPr>
        <w:t>3 этапа развития:</w:t>
      </w:r>
    </w:p>
    <w:p w14:paraId="6DEC300B" w14:textId="77777777" w:rsidR="00BE03C5" w:rsidRPr="00BD293E" w:rsidRDefault="00000000" w:rsidP="00BD293E">
      <w:pPr>
        <w:pStyle w:val="ac"/>
        <w:spacing w:beforeAutospacing="0" w:afterAutospacing="0"/>
        <w:ind w:firstLine="709"/>
        <w:jc w:val="both"/>
        <w:rPr>
          <w:color w:val="000000"/>
        </w:rPr>
      </w:pPr>
      <w:r w:rsidRPr="00BD293E">
        <w:rPr>
          <w:color w:val="000000"/>
        </w:rPr>
        <w:lastRenderedPageBreak/>
        <w:t xml:space="preserve">1. 1890-е гг. Период декадентства. Первый манифест Лекция Дм. Мережковского «О причинах упадка и новых течениях русской литературы». Основные принципы: мистическое содержание, символичность образов, понятие о </w:t>
      </w:r>
      <w:proofErr w:type="spellStart"/>
      <w:r w:rsidRPr="00BD293E">
        <w:rPr>
          <w:color w:val="000000"/>
        </w:rPr>
        <w:t>двоемирии</w:t>
      </w:r>
      <w:proofErr w:type="spellEnd"/>
      <w:r w:rsidRPr="00BD293E">
        <w:rPr>
          <w:color w:val="000000"/>
        </w:rPr>
        <w:t xml:space="preserve"> (мир земной, эмпирический – реальность; мир иной - сверхреальность). </w:t>
      </w:r>
      <w:proofErr w:type="spellStart"/>
      <w:r w:rsidRPr="00BD293E">
        <w:rPr>
          <w:color w:val="000000"/>
        </w:rPr>
        <w:t>Появляетсся</w:t>
      </w:r>
      <w:proofErr w:type="spellEnd"/>
      <w:r w:rsidRPr="00BD293E">
        <w:rPr>
          <w:color w:val="000000"/>
        </w:rPr>
        <w:t xml:space="preserve"> 1-ый символ журнал – «Мир искусства».</w:t>
      </w:r>
    </w:p>
    <w:p w14:paraId="18FC0C50" w14:textId="77777777" w:rsidR="00BE03C5" w:rsidRPr="00BD293E" w:rsidRDefault="00000000" w:rsidP="00BD293E">
      <w:pPr>
        <w:pStyle w:val="ac"/>
        <w:spacing w:beforeAutospacing="0" w:afterAutospacing="0"/>
        <w:ind w:firstLine="709"/>
        <w:jc w:val="both"/>
        <w:rPr>
          <w:color w:val="000000"/>
        </w:rPr>
      </w:pPr>
      <w:r w:rsidRPr="00BD293E">
        <w:rPr>
          <w:color w:val="000000"/>
        </w:rPr>
        <w:t>2. 1900-е гг. Расцвет русского символизма. Появляются все основные манифесты. Журналы: «Весы», «Новый путь», «Аполлон», «Вопросы жизни», «Золотое руно» (направлены на античность). Бальмонт, Брюсов, Сологуб, Иванов.</w:t>
      </w:r>
    </w:p>
    <w:p w14:paraId="18710559" w14:textId="77777777" w:rsidR="00BE03C5" w:rsidRPr="00BD293E" w:rsidRDefault="00000000" w:rsidP="00BD293E">
      <w:pPr>
        <w:pStyle w:val="ac"/>
        <w:spacing w:beforeAutospacing="0" w:afterAutospacing="0"/>
        <w:ind w:firstLine="709"/>
        <w:jc w:val="both"/>
        <w:rPr>
          <w:color w:val="000000"/>
        </w:rPr>
      </w:pPr>
      <w:r w:rsidRPr="00BD293E">
        <w:rPr>
          <w:color w:val="000000"/>
        </w:rPr>
        <w:t>3. 1910-е гг. Кризис русского символизма. Течение уступает место акмеизму.</w:t>
      </w:r>
    </w:p>
    <w:p w14:paraId="42E6E838" w14:textId="77777777" w:rsidR="00BE03C5" w:rsidRPr="00BD293E" w:rsidRDefault="00BE03C5" w:rsidP="00BD293E">
      <w:pPr>
        <w:pStyle w:val="ac"/>
        <w:spacing w:beforeAutospacing="0" w:afterAutospacing="0"/>
        <w:ind w:firstLine="709"/>
        <w:jc w:val="both"/>
        <w:rPr>
          <w:color w:val="000000"/>
        </w:rPr>
      </w:pPr>
    </w:p>
    <w:p w14:paraId="2F6791B9" w14:textId="77777777" w:rsidR="00BE03C5" w:rsidRPr="00BD293E" w:rsidRDefault="00000000" w:rsidP="00BD293E">
      <w:pPr>
        <w:ind w:firstLine="709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proofErr w:type="spellStart"/>
      <w:r w:rsidRPr="00BD293E">
        <w:rPr>
          <w:rFonts w:ascii="Times New Roman" w:hAnsi="Times New Roman" w:cs="Times New Roman"/>
          <w:b/>
          <w:color w:val="000000"/>
          <w:shd w:val="clear" w:color="auto" w:fill="FFFFFF"/>
        </w:rPr>
        <w:t>А.Белый</w:t>
      </w:r>
      <w:proofErr w:type="spellEnd"/>
      <w:r w:rsidRPr="00BD293E">
        <w:rPr>
          <w:rFonts w:ascii="Times New Roman" w:hAnsi="Times New Roman" w:cs="Times New Roman"/>
          <w:b/>
          <w:color w:val="000000"/>
          <w:shd w:val="clear" w:color="auto" w:fill="FFFFFF"/>
        </w:rPr>
        <w:t>. «Символизм как миропонимание» (1903)</w:t>
      </w:r>
    </w:p>
    <w:p w14:paraId="334E36D5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5A9A4DF0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В этой статье Белый объясняет, как ему видится мир в символизме и сам символизм.</w:t>
      </w:r>
    </w:p>
    <w:p w14:paraId="6CACD1B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Еще недавно думали - мир изучен. Всякая глубина исчезла с горизонта. Но не исчезло стремление к дальнему в сердцах. Опять запросило сердце вечных ценностей.</w:t>
      </w:r>
    </w:p>
    <w:p w14:paraId="3CF752E5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Не событиями захвачено все существо человека, а </w:t>
      </w:r>
      <w:r w:rsidRPr="00BD293E">
        <w:rPr>
          <w:rFonts w:ascii="Times New Roman" w:hAnsi="Times New Roman" w:cs="Times New Roman"/>
          <w:i/>
          <w:iCs/>
          <w:color w:val="000000"/>
        </w:rPr>
        <w:t>символами иного. </w:t>
      </w:r>
      <w:r w:rsidRPr="00BD293E">
        <w:rPr>
          <w:rFonts w:ascii="Times New Roman" w:hAnsi="Times New Roman" w:cs="Times New Roman"/>
          <w:color w:val="000000"/>
        </w:rPr>
        <w:t>Музыка идеально выражает символ. Символ поэтому всегда музыкален.</w:t>
      </w:r>
    </w:p>
    <w:p w14:paraId="7733F22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Символ пробуждает музыку души. Когда мир придет в нашу душу, всегда она зазвучит. Когда душа станет миром, она будет вне мира.</w:t>
      </w:r>
    </w:p>
    <w:p w14:paraId="1EDECA7F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В символизме, как методе, соединяющем </w:t>
      </w:r>
      <w:r w:rsidRPr="00BD293E">
        <w:rPr>
          <w:rFonts w:ascii="Times New Roman" w:hAnsi="Times New Roman" w:cs="Times New Roman"/>
          <w:i/>
          <w:iCs/>
          <w:color w:val="000000"/>
        </w:rPr>
        <w:t>вечное </w:t>
      </w:r>
      <w:r w:rsidRPr="00BD293E">
        <w:rPr>
          <w:rFonts w:ascii="Times New Roman" w:hAnsi="Times New Roman" w:cs="Times New Roman"/>
          <w:color w:val="000000"/>
        </w:rPr>
        <w:t>с его пространственными и временными проявлениями, встречаемся с познанием Платоновых идей. Искусство должно выражать идеи. Всякое искусство по существу символично.</w:t>
      </w:r>
    </w:p>
    <w:p w14:paraId="640B204F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Ницше принес глубину из бессмертных далей. Форма, которой преимущественно пользовался Ницше, - афоризм. Афоризм -- наиболее тесная форма общения автора с читателями, при условии, что автор умело выражается, а читатель -- схватывает.</w:t>
      </w:r>
    </w:p>
    <w:p w14:paraId="19E35D0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D293E">
        <w:rPr>
          <w:rFonts w:ascii="Times New Roman" w:hAnsi="Times New Roman" w:cs="Times New Roman"/>
          <w:color w:val="000000"/>
        </w:rPr>
        <w:t>Соединение вершин символизма как искусства с мистикой Владимир Соловьев определял особым термином. Термин этот – теургия.</w:t>
      </w:r>
    </w:p>
    <w:p w14:paraId="42759A35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Искусство Белый понимает как гениальное познание. То есть для него искусство – это способ мышления, способ общения с миром. Причем если раньше люди жили по платоновской философии «в пещере», мир идей был недосягаем, люди видели лишь тени, то благодаря символизму как способу видения и познания мира этот идеальный мир стал доступен.</w:t>
      </w:r>
    </w:p>
    <w:p w14:paraId="34A9BEF8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Акмеисты стремились к чувственной пластически-вещной ясности образа и точности, чеканности поэтического слова. Акмеизм - «земная» поэзия.</w:t>
      </w:r>
    </w:p>
    <w:p w14:paraId="6F0FF028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17D13FC" w14:textId="77777777" w:rsidR="00BE03C5" w:rsidRPr="00BD293E" w:rsidRDefault="00000000" w:rsidP="00BD293E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АКМЕИЗМ</w:t>
      </w:r>
    </w:p>
    <w:p w14:paraId="4674824A" w14:textId="77777777" w:rsidR="00BE03C5" w:rsidRPr="00BD293E" w:rsidRDefault="00BE03C5" w:rsidP="00BD293E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EB71F41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/>
          <w:color w:val="000000"/>
        </w:rPr>
        <w:t>Акмеизм можно назвать почти полной противоположностью символизма. Поэты, принадлежавшие к этому лагерю, проповедовали «прекрасную ясность» и вместо символов использовали вполне конкретные детали, пришедшие из «грубого», но всё равно прекрасного, по их мнению, мира.</w:t>
      </w:r>
    </w:p>
    <w:p w14:paraId="523700AA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Поэты противопоставляли себя символистам – стремились говорить простым языком. В 1913 г. в журнале «Аполлон» была опубликована статья Городецкого «Некоторые течения в современной русской поэзии», где констатировалось, что на смену одряхлевшему течению символизма пришло новое течение – акмеизм. Название дал Гумилев, оно образовано от греческого корня со значением «высшая степень чего-либо, цветущая сила». Если символизм – поиск пути в неведомое, то акмеизм – реальный мир. Туманности и намекам они противопоставляли верные образы и четкую композицию.</w:t>
      </w:r>
    </w:p>
    <w:p w14:paraId="232163EF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Акмеисты ничего нового не предлагали – они вернули поэтам возможность свободно пользоваться средствами языка. Акмеизм «это тоска по мировой культуре». Старались находить поэзию в бытовых деталях жизни.</w:t>
      </w:r>
    </w:p>
    <w:p w14:paraId="53038A0F" w14:textId="77777777" w:rsidR="00BE03C5" w:rsidRPr="00BD293E" w:rsidRDefault="00000000" w:rsidP="00BD293E">
      <w:pPr>
        <w:ind w:firstLine="709"/>
        <w:jc w:val="center"/>
        <w:rPr>
          <w:rFonts w:ascii="Times New Roman" w:hAnsi="Times New Roman" w:cs="Times New Roman"/>
          <w:b/>
        </w:rPr>
      </w:pPr>
      <w:proofErr w:type="spellStart"/>
      <w:r w:rsidRPr="00BD293E">
        <w:rPr>
          <w:rFonts w:ascii="Times New Roman" w:hAnsi="Times New Roman" w:cs="Times New Roman"/>
          <w:b/>
          <w:color w:val="000000"/>
        </w:rPr>
        <w:t>О.Э.Мандельшам</w:t>
      </w:r>
      <w:proofErr w:type="spellEnd"/>
    </w:p>
    <w:p w14:paraId="49D4512B" w14:textId="77777777" w:rsidR="00BE03C5" w:rsidRPr="00BD293E" w:rsidRDefault="00000000" w:rsidP="00BD293E">
      <w:pPr>
        <w:ind w:firstLine="709"/>
        <w:jc w:val="center"/>
        <w:rPr>
          <w:rFonts w:ascii="Times New Roman" w:hAnsi="Times New Roman" w:cs="Times New Roman"/>
          <w:b/>
        </w:rPr>
      </w:pPr>
      <w:r w:rsidRPr="00BD293E">
        <w:rPr>
          <w:rFonts w:ascii="Times New Roman" w:hAnsi="Times New Roman" w:cs="Times New Roman"/>
          <w:b/>
          <w:color w:val="000000"/>
        </w:rPr>
        <w:t>«Утро акмеизма» (1913)</w:t>
      </w:r>
    </w:p>
    <w:p w14:paraId="713AB1CA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Для акмеистов сознательный смысл слова, Логос, такая же прекрасная форма, как музыка для символистов.</w:t>
      </w:r>
    </w:p>
    <w:p w14:paraId="73C3840C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Мы не хотим развлекать себя прогулкой в «лесу символов», потому что у нас есть более девственный, более дремучий лес — божественная физиология, бесконечная сложность нашего темного организма.</w:t>
      </w:r>
    </w:p>
    <w:p w14:paraId="2EADAF54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 xml:space="preserve">Высшая заповедь </w:t>
      </w:r>
      <w:proofErr w:type="spellStart"/>
      <w:r w:rsidRPr="00BD293E">
        <w:rPr>
          <w:rFonts w:ascii="Times New Roman" w:hAnsi="Times New Roman" w:cs="Times New Roman"/>
          <w:color w:val="000000"/>
          <w:shd w:val="clear" w:color="auto" w:fill="FFFFFF"/>
        </w:rPr>
        <w:t>акмеимза</w:t>
      </w:r>
      <w:proofErr w:type="spellEnd"/>
      <w:r w:rsidRPr="00BD293E">
        <w:rPr>
          <w:rFonts w:ascii="Times New Roman" w:hAnsi="Times New Roman" w:cs="Times New Roman"/>
          <w:color w:val="000000"/>
          <w:shd w:val="clear" w:color="auto" w:fill="FFFFFF"/>
        </w:rPr>
        <w:t xml:space="preserve"> - любить существование вещи больше самой вещи и свое бытие больше самих себя.</w:t>
      </w:r>
    </w:p>
    <w:p w14:paraId="582C03C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А=А: какая прекрасная поэтическая тема. Символизм томился, скучал законом тождества, акмеизм делает его своим лозунгом.</w:t>
      </w:r>
    </w:p>
    <w:p w14:paraId="2B9ACAF5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Будем же доказывать свою правоту так, чтобы в ответ нам содрогалась вся цепь причин и следствий от альфы до омеги, научимся носить «легче и вольнее подвижные оковы бытия».</w:t>
      </w:r>
    </w:p>
    <w:p w14:paraId="6C68D9AA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</w:rPr>
      </w:pPr>
    </w:p>
    <w:p w14:paraId="0D734599" w14:textId="77777777" w:rsidR="00BE03C5" w:rsidRPr="00BD293E" w:rsidRDefault="00000000" w:rsidP="00BD293E">
      <w:pPr>
        <w:ind w:firstLine="709"/>
        <w:jc w:val="center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ФУТУРИЗМ</w:t>
      </w:r>
    </w:p>
    <w:p w14:paraId="1A41B55B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</w:rPr>
      </w:pPr>
    </w:p>
    <w:p w14:paraId="65D7356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 xml:space="preserve">Футуризм как литературное течение родился в Италии. </w:t>
      </w:r>
    </w:p>
    <w:p w14:paraId="0C29A0D8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Стремясь создать «искусство будущего», футуризм отрицал традиционную культуру (особенно ее нравственные и художественные ценности), культивировал урбанизм (эстетику машинной индустрии и большого города). Представители футуризма отрицали художественное и нравственное наследие. Выйдя на арену литературной борьбы, они заявили, что всё накопленное старой культурой нужно не обновлять, а уничтожать.</w:t>
      </w:r>
    </w:p>
    <w:p w14:paraId="340C36D1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Молодые поэты (В. Маяковский, Д. Бурлюк, А. Крученых, В. Хлебников) заявили о своем презрении к здравому смыслу и хорошему вкусу, выразили ненависть к существовавшему до них языку и решили «сбросить Пушкина, Достоевского и Толстого с Парохода Современности».</w:t>
      </w:r>
    </w:p>
    <w:p w14:paraId="539FBA2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Своим сборникам футуристы давали нарочито вызывающие названия: «Пощёчина общественному вкусу», у Бурлюка «Дохлая луна» (луна была самым романтическим образом символистов), «звезды – черви, пьяные туманом; у Маяковского – «улица провалилась, как нос сифилитика».</w:t>
      </w:r>
    </w:p>
    <w:p w14:paraId="31B650C7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 xml:space="preserve">История русского футуризма складывалась из сложного взаимодействия и борьбы четырех основных группировок: </w:t>
      </w:r>
    </w:p>
    <w:p w14:paraId="3A45A282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>а) «Гилея» (</w:t>
      </w:r>
      <w:proofErr w:type="spellStart"/>
      <w:r w:rsidRPr="00BD293E">
        <w:rPr>
          <w:rFonts w:ascii="Times New Roman" w:hAnsi="Times New Roman" w:cs="Times New Roman"/>
          <w:color w:val="000000"/>
        </w:rPr>
        <w:t>кубофутуристы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) — </w:t>
      </w:r>
      <w:proofErr w:type="spellStart"/>
      <w:r w:rsidRPr="00BD293E">
        <w:rPr>
          <w:rFonts w:ascii="Times New Roman" w:hAnsi="Times New Roman" w:cs="Times New Roman"/>
          <w:color w:val="000000"/>
        </w:rPr>
        <w:t>В.В.Хлебников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Д.Д. и </w:t>
      </w:r>
      <w:proofErr w:type="spellStart"/>
      <w:r w:rsidRPr="00BD293E">
        <w:rPr>
          <w:rFonts w:ascii="Times New Roman" w:hAnsi="Times New Roman" w:cs="Times New Roman"/>
          <w:color w:val="000000"/>
        </w:rPr>
        <w:t>Н.Д.Бурлюки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В. В. Каменский, </w:t>
      </w:r>
      <w:proofErr w:type="spellStart"/>
      <w:r w:rsidRPr="00BD293E">
        <w:rPr>
          <w:rFonts w:ascii="Times New Roman" w:hAnsi="Times New Roman" w:cs="Times New Roman"/>
          <w:color w:val="000000"/>
        </w:rPr>
        <w:t>Е.Г.Гуро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В.В.Маяковский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А.Е.Крученых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Б.К.Лифшиц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; </w:t>
      </w:r>
    </w:p>
    <w:p w14:paraId="1C782241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 xml:space="preserve">б) «Ассоциация эгофутуристов» — </w:t>
      </w:r>
      <w:proofErr w:type="spellStart"/>
      <w:r w:rsidRPr="00BD293E">
        <w:rPr>
          <w:rFonts w:ascii="Times New Roman" w:hAnsi="Times New Roman" w:cs="Times New Roman"/>
          <w:color w:val="000000"/>
        </w:rPr>
        <w:t>И.Северянин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И.В.Игнатьев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К.К.Олимпов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В.И.Гнедов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 и др.; </w:t>
      </w:r>
    </w:p>
    <w:p w14:paraId="47C6E6F6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 xml:space="preserve">в) «Мезонин поэзии» — Хрисанф, </w:t>
      </w:r>
      <w:proofErr w:type="spellStart"/>
      <w:r w:rsidRPr="00BD293E">
        <w:rPr>
          <w:rFonts w:ascii="Times New Roman" w:hAnsi="Times New Roman" w:cs="Times New Roman"/>
          <w:color w:val="000000"/>
        </w:rPr>
        <w:t>В.Г.Шершеневич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Р.Ивнев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 и др.; </w:t>
      </w:r>
    </w:p>
    <w:p w14:paraId="349752EB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</w:rPr>
        <w:t xml:space="preserve">г) «Центрифуга» — </w:t>
      </w:r>
      <w:proofErr w:type="spellStart"/>
      <w:r w:rsidRPr="00BD293E">
        <w:rPr>
          <w:rFonts w:ascii="Times New Roman" w:hAnsi="Times New Roman" w:cs="Times New Roman"/>
          <w:color w:val="000000"/>
        </w:rPr>
        <w:t>С.П.Бобров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Б.Л.Пастернак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Н.Н.Асеев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BD293E">
        <w:rPr>
          <w:rFonts w:ascii="Times New Roman" w:hAnsi="Times New Roman" w:cs="Times New Roman"/>
          <w:color w:val="000000"/>
        </w:rPr>
        <w:t>К.А.Большаков</w:t>
      </w:r>
      <w:proofErr w:type="spellEnd"/>
      <w:r w:rsidRPr="00BD293E">
        <w:rPr>
          <w:rFonts w:ascii="Times New Roman" w:hAnsi="Times New Roman" w:cs="Times New Roman"/>
          <w:color w:val="000000"/>
        </w:rPr>
        <w:t xml:space="preserve"> и др.</w:t>
      </w:r>
    </w:p>
    <w:p w14:paraId="2C54DC43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 xml:space="preserve">Русские футуристы считали себя единственно достойными представителями отечественного искусства, борцами за его коренное обновление. В программе футуризма ставилась задача отрыва литературы от политики, от «здравого смысла» и хорошего вкуса», утверждалась красота самоценного слова. Поэт – бунтарь, революционер, творец новой реальности. Отрицание прошлого во имя настоящего и настоящего во имя будущего. </w:t>
      </w:r>
    </w:p>
    <w:p w14:paraId="4E92B67A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Оставаясь верными принципам, отражённым в манифесте, футуристы ломали нормы русского литературного языка. Маяковский, как многим известно, выработал свой способ графического написания стихов — «лесенкой»:</w:t>
      </w:r>
    </w:p>
    <w:p w14:paraId="6D6F52BD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Сливеют</w:t>
      </w:r>
      <w:proofErr w:type="spellEnd"/>
    </w:p>
    <w:p w14:paraId="62C6167E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color w:val="000000"/>
        </w:rPr>
        <w:t xml:space="preserve">        </w:t>
      </w:r>
      <w:r w:rsidRPr="00BD293E">
        <w:rPr>
          <w:rStyle w:val="a6"/>
          <w:rFonts w:ascii="Times New Roman" w:hAnsi="Times New Roman"/>
          <w:b w:val="0"/>
          <w:color w:val="000000"/>
        </w:rPr>
        <w:t>губы</w:t>
      </w:r>
    </w:p>
    <w:p w14:paraId="6459C719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color w:val="000000"/>
        </w:rPr>
        <w:t xml:space="preserve">             </w:t>
      </w:r>
      <w:r w:rsidRPr="00BD293E">
        <w:rPr>
          <w:rStyle w:val="a6"/>
          <w:rFonts w:ascii="Times New Roman" w:hAnsi="Times New Roman"/>
          <w:b w:val="0"/>
          <w:color w:val="000000"/>
        </w:rPr>
        <w:t>с холода,</w:t>
      </w:r>
    </w:p>
    <w:p w14:paraId="6337F66D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но губы</w:t>
      </w:r>
    </w:p>
    <w:p w14:paraId="74F5A676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color w:val="000000"/>
        </w:rPr>
        <w:lastRenderedPageBreak/>
        <w:t xml:space="preserve">        </w:t>
      </w:r>
      <w:r w:rsidRPr="00BD293E">
        <w:rPr>
          <w:rStyle w:val="a6"/>
          <w:rFonts w:ascii="Times New Roman" w:hAnsi="Times New Roman"/>
          <w:b w:val="0"/>
          <w:color w:val="000000"/>
        </w:rPr>
        <w:t>шепчут в лад:</w:t>
      </w:r>
    </w:p>
    <w:p w14:paraId="0EFFE82B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«Через четыре</w:t>
      </w:r>
    </w:p>
    <w:p w14:paraId="0A7A714C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color w:val="000000"/>
        </w:rPr>
        <w:t xml:space="preserve">              </w:t>
      </w:r>
      <w:r w:rsidRPr="00BD293E">
        <w:rPr>
          <w:rStyle w:val="a6"/>
          <w:rFonts w:ascii="Times New Roman" w:hAnsi="Times New Roman"/>
          <w:b w:val="0"/>
          <w:color w:val="000000"/>
        </w:rPr>
        <w:t>года</w:t>
      </w:r>
    </w:p>
    <w:p w14:paraId="16592284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здесь</w:t>
      </w:r>
    </w:p>
    <w:p w14:paraId="748DD461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color w:val="000000"/>
        </w:rPr>
        <w:t xml:space="preserve">      </w:t>
      </w:r>
      <w:r w:rsidRPr="00BD293E">
        <w:rPr>
          <w:rStyle w:val="a6"/>
          <w:rFonts w:ascii="Times New Roman" w:hAnsi="Times New Roman"/>
          <w:b w:val="0"/>
          <w:color w:val="000000"/>
        </w:rPr>
        <w:t>будет</w:t>
      </w:r>
    </w:p>
    <w:p w14:paraId="00197073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color w:val="000000"/>
        </w:rPr>
        <w:t xml:space="preserve">            </w:t>
      </w:r>
      <w:r w:rsidRPr="00BD293E">
        <w:rPr>
          <w:rStyle w:val="a6"/>
          <w:rFonts w:ascii="Times New Roman" w:hAnsi="Times New Roman"/>
          <w:b w:val="0"/>
          <w:color w:val="000000"/>
        </w:rPr>
        <w:t>город-сад!»</w:t>
      </w:r>
    </w:p>
    <w:p w14:paraId="6AFB8BC5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hyperlink r:id="rId5">
        <w:r w:rsidRPr="00BD293E">
          <w:rPr>
            <w:rFonts w:ascii="Times New Roman" w:hAnsi="Times New Roman"/>
            <w:bCs/>
            <w:color w:val="000000"/>
          </w:rPr>
          <w:t>В. Хлебников</w:t>
        </w:r>
      </w:hyperlink>
      <w:r w:rsidRPr="00BD293E">
        <w:rPr>
          <w:rFonts w:ascii="Times New Roman" w:hAnsi="Times New Roman"/>
          <w:color w:val="000000"/>
        </w:rPr>
        <w:t> же сконцентрировался на придумывании новых слов. В «Словаре неологизмов Велимира Хлебникова», изданном уже в 1995 году, набралось аж 560 страниц. Стихотворение «Кузнечик» — один из самых знаменитых экспериментов поэта-новатора:</w:t>
      </w:r>
    </w:p>
    <w:p w14:paraId="4F2DF3E9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КУЗНЕЧИК</w:t>
      </w:r>
    </w:p>
    <w:p w14:paraId="30F31620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Крылышкуя</w:t>
      </w:r>
      <w:proofErr w:type="spellEnd"/>
      <w:r w:rsidRPr="00BD293E">
        <w:rPr>
          <w:rStyle w:val="a6"/>
          <w:rFonts w:ascii="Times New Roman" w:hAnsi="Times New Roman"/>
          <w:b w:val="0"/>
          <w:color w:val="000000"/>
        </w:rPr>
        <w:t xml:space="preserve"> </w:t>
      </w: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золотописьмом</w:t>
      </w:r>
      <w:proofErr w:type="spellEnd"/>
    </w:p>
    <w:p w14:paraId="78A4935A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Тончайших жил,</w:t>
      </w:r>
    </w:p>
    <w:p w14:paraId="5CB5D9B5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Кузнечик в кузов пуза уложил</w:t>
      </w:r>
    </w:p>
    <w:p w14:paraId="476DD1E4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Прибрежных много трав и вер.</w:t>
      </w:r>
    </w:p>
    <w:p w14:paraId="5B19E933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«</w:t>
      </w: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Пинь</w:t>
      </w:r>
      <w:proofErr w:type="spellEnd"/>
      <w:r w:rsidRPr="00BD293E">
        <w:rPr>
          <w:rStyle w:val="a6"/>
          <w:rFonts w:ascii="Times New Roman" w:hAnsi="Times New Roman"/>
          <w:b w:val="0"/>
          <w:color w:val="000000"/>
        </w:rPr>
        <w:t xml:space="preserve">, </w:t>
      </w: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пинь</w:t>
      </w:r>
      <w:proofErr w:type="spellEnd"/>
      <w:r w:rsidRPr="00BD293E">
        <w:rPr>
          <w:rStyle w:val="a6"/>
          <w:rFonts w:ascii="Times New Roman" w:hAnsi="Times New Roman"/>
          <w:b w:val="0"/>
          <w:color w:val="000000"/>
        </w:rPr>
        <w:t xml:space="preserve">, </w:t>
      </w: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пинь</w:t>
      </w:r>
      <w:proofErr w:type="spellEnd"/>
      <w:r w:rsidRPr="00BD293E">
        <w:rPr>
          <w:rStyle w:val="a6"/>
          <w:rFonts w:ascii="Times New Roman" w:hAnsi="Times New Roman"/>
          <w:b w:val="0"/>
          <w:color w:val="000000"/>
        </w:rPr>
        <w:t xml:space="preserve">!» — тарарахнул </w:t>
      </w: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зинзивер</w:t>
      </w:r>
      <w:proofErr w:type="spellEnd"/>
      <w:r w:rsidRPr="00BD293E">
        <w:rPr>
          <w:rStyle w:val="a6"/>
          <w:rFonts w:ascii="Times New Roman" w:hAnsi="Times New Roman"/>
          <w:b w:val="0"/>
          <w:color w:val="000000"/>
        </w:rPr>
        <w:t>.</w:t>
      </w:r>
    </w:p>
    <w:p w14:paraId="0C142D69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 xml:space="preserve">О, </w:t>
      </w:r>
      <w:proofErr w:type="spellStart"/>
      <w:r w:rsidRPr="00BD293E">
        <w:rPr>
          <w:rStyle w:val="a6"/>
          <w:rFonts w:ascii="Times New Roman" w:hAnsi="Times New Roman"/>
          <w:b w:val="0"/>
          <w:color w:val="000000"/>
        </w:rPr>
        <w:t>лебедиво</w:t>
      </w:r>
      <w:proofErr w:type="spellEnd"/>
      <w:r w:rsidRPr="00BD293E">
        <w:rPr>
          <w:rStyle w:val="a6"/>
          <w:rFonts w:ascii="Times New Roman" w:hAnsi="Times New Roman"/>
          <w:b w:val="0"/>
          <w:color w:val="000000"/>
        </w:rPr>
        <w:t>!</w:t>
      </w:r>
    </w:p>
    <w:p w14:paraId="7D1ECD7D" w14:textId="77777777" w:rsidR="00BE03C5" w:rsidRPr="00BD293E" w:rsidRDefault="00000000" w:rsidP="00BD293E">
      <w:pPr>
        <w:pStyle w:val="a1"/>
        <w:spacing w:after="432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D293E">
        <w:rPr>
          <w:rStyle w:val="a6"/>
          <w:rFonts w:ascii="Times New Roman" w:hAnsi="Times New Roman"/>
          <w:b w:val="0"/>
          <w:color w:val="000000"/>
        </w:rPr>
        <w:t>О, озари!</w:t>
      </w:r>
    </w:p>
    <w:p w14:paraId="21BE2508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</w:rPr>
        <w:t>Одной из задач футуристов являлось создание нового поэтического языка – «зауми». Особая роль в таком языке отводится фонетике: каждый звук речи, по мн. «</w:t>
      </w:r>
      <w:proofErr w:type="spellStart"/>
      <w:r w:rsidRPr="00BD293E">
        <w:rPr>
          <w:rFonts w:ascii="Times New Roman" w:hAnsi="Times New Roman" w:cs="Times New Roman"/>
        </w:rPr>
        <w:t>речетворцев</w:t>
      </w:r>
      <w:proofErr w:type="spellEnd"/>
      <w:r w:rsidRPr="00BD293E">
        <w:rPr>
          <w:rFonts w:ascii="Times New Roman" w:hAnsi="Times New Roman" w:cs="Times New Roman"/>
        </w:rPr>
        <w:t>»-футуристов, обладает определенным смыслом.</w:t>
      </w:r>
    </w:p>
    <w:p w14:paraId="169F57AF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</w:rPr>
        <w:t xml:space="preserve">«Заумь» является одним из приемов </w:t>
      </w:r>
      <w:proofErr w:type="spellStart"/>
      <w:r w:rsidRPr="00BD293E">
        <w:rPr>
          <w:rFonts w:ascii="Times New Roman" w:hAnsi="Times New Roman" w:cs="Times New Roman"/>
        </w:rPr>
        <w:t>сверхповести</w:t>
      </w:r>
      <w:proofErr w:type="spellEnd"/>
      <w:r w:rsidRPr="00BD293E">
        <w:rPr>
          <w:rFonts w:ascii="Times New Roman" w:hAnsi="Times New Roman" w:cs="Times New Roman"/>
        </w:rPr>
        <w:t xml:space="preserve"> «</w:t>
      </w:r>
      <w:proofErr w:type="spellStart"/>
      <w:r w:rsidRPr="00BD293E">
        <w:rPr>
          <w:rFonts w:ascii="Times New Roman" w:hAnsi="Times New Roman" w:cs="Times New Roman"/>
        </w:rPr>
        <w:t>Зангези</w:t>
      </w:r>
      <w:proofErr w:type="spellEnd"/>
      <w:r w:rsidRPr="00BD293E">
        <w:rPr>
          <w:rFonts w:ascii="Times New Roman" w:hAnsi="Times New Roman" w:cs="Times New Roman"/>
        </w:rPr>
        <w:t xml:space="preserve">». Помимо традиционного поэтического языка в </w:t>
      </w:r>
      <w:proofErr w:type="spellStart"/>
      <w:r w:rsidRPr="00BD293E">
        <w:rPr>
          <w:rFonts w:ascii="Times New Roman" w:hAnsi="Times New Roman" w:cs="Times New Roman"/>
        </w:rPr>
        <w:t>сверхповести</w:t>
      </w:r>
      <w:proofErr w:type="spellEnd"/>
      <w:r w:rsidRPr="00BD293E">
        <w:rPr>
          <w:rFonts w:ascii="Times New Roman" w:hAnsi="Times New Roman" w:cs="Times New Roman"/>
        </w:rPr>
        <w:t xml:space="preserve">, по свидетельству самого Хлебникова, используется еще птичий язык, язык богов, звездный язык, заумный язык, разложение слова, звукопись, безумный язык. </w:t>
      </w:r>
      <w:r w:rsidRPr="00BD293E">
        <w:rPr>
          <w:rFonts w:ascii="Times New Roman" w:hAnsi="Times New Roman" w:cs="Times New Roman"/>
          <w:shd w:val="clear" w:color="auto" w:fill="FFFFFF"/>
        </w:rPr>
        <w:t xml:space="preserve">Все эти «языки» можно по-разному соотнести с «бытовым языком», который футуристы отрицали в разных манифестах. Так, птичий язык в Плоскости I «Птицы» — это звукоподражание: «Пить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пэ́т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твичан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!», «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Кри-ти-ти-ти-ти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́-и -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цы-цы-цы-сссы́ы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» и т. д. Подобную имитацию птичьего пения мы можем встретить и во вполне реалистических описаниях дикой природы, скажем у Пришвина или Бианки, но Хлебников делает его одним из полноправных языков мира, принципиально не переводимым на человеческий.</w:t>
      </w:r>
    </w:p>
    <w:p w14:paraId="79F39BC1" w14:textId="77777777" w:rsidR="00BE03C5" w:rsidRPr="00BD293E" w:rsidRDefault="00000000" w:rsidP="00BD293E">
      <w:pPr>
        <w:ind w:firstLine="709"/>
        <w:jc w:val="both"/>
        <w:rPr>
          <w:rStyle w:val="footnote"/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shd w:val="clear" w:color="auto" w:fill="FFFFFF"/>
        </w:rPr>
        <w:lastRenderedPageBreak/>
        <w:t xml:space="preserve">За птичьим следует язык богов, знакомство с которым начинается уже с имён. В Плоскости II перечислены божества: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Тиэн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Шангти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, Юнона,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Ункулункулу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. Боги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Тиэн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и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Шангти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присутствуют в китайской мифологии, Юнона — жена римского Юпитера, аналог греческой Геры, а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Ункулункулу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—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первопредок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в космогонии зулусов. Создаётся синкретическое теологическое пространство, где божества говорят на равных, а их имена на фоне «обычного» русского языка выглядят равно заумно. Хлебникова явно завораживала идея «божественного интернационала с представительством от всех концов света», воплощающая, по мнению Михаила Гаспарова, «мечту о мирном братстве, любви и взаимопонимании всего </w:t>
      </w:r>
      <w:r w:rsidRPr="00BD293E">
        <w:rPr>
          <w:rStyle w:val="footnote"/>
          <w:rFonts w:ascii="Times New Roman" w:hAnsi="Times New Roman" w:cs="Times New Roman"/>
          <w:shd w:val="clear" w:color="auto" w:fill="FFFFFF"/>
        </w:rPr>
        <w:t>человечества».</w:t>
      </w:r>
    </w:p>
    <w:p w14:paraId="11AB2A63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shd w:val="clear" w:color="auto" w:fill="FFFFFF"/>
        </w:rPr>
        <w:t>Некоторые исследователи относят к звёздному языку (он же — «вселенский язык», «мировой язык», «азбука ума») самые разные эксперименты Хлебникова, в том числе стихотворение «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Бобэоби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пелись </w:t>
      </w:r>
      <w:r w:rsidRPr="00BD293E">
        <w:rPr>
          <w:rStyle w:val="footnote"/>
          <w:rFonts w:ascii="Times New Roman" w:hAnsi="Times New Roman" w:cs="Times New Roman"/>
          <w:shd w:val="clear" w:color="auto" w:fill="FFFFFF"/>
        </w:rPr>
        <w:t>губы…»,</w:t>
      </w:r>
      <w:r w:rsidRPr="00BD293E">
        <w:rPr>
          <w:rFonts w:ascii="Times New Roman" w:hAnsi="Times New Roman" w:cs="Times New Roman"/>
          <w:shd w:val="clear" w:color="auto" w:fill="FFFFFF"/>
        </w:rPr>
        <w:t xml:space="preserve"> но в рамках «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Зангези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» звёздный язык выражен во вполне определённых односложных лексемах. Они обладают множеством фонетически ассоциированных смыслов, которые объединяются в противопоставленные друг другу гнёзда: наиболее выражена в «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Зангези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» борьба </w:t>
      </w:r>
      <w:hyperlink r:id="rId6" w:tgtFrame="_blank">
        <w:r w:rsidRPr="00BD293E">
          <w:rPr>
            <w:rFonts w:ascii="Times New Roman" w:hAnsi="Times New Roman" w:cs="Times New Roman"/>
            <w:i/>
            <w:iCs/>
          </w:rPr>
          <w:t>Эль</w:t>
        </w:r>
      </w:hyperlink>
      <w:r w:rsidRPr="00BD293E">
        <w:rPr>
          <w:rFonts w:ascii="Times New Roman" w:hAnsi="Times New Roman" w:cs="Times New Roman"/>
          <w:shd w:val="clear" w:color="auto" w:fill="FFFFFF"/>
        </w:rPr>
        <w:t> (связываемого с такими земными понятиями, как ласка, лень, любовь, улей и так далее) с </w:t>
      </w:r>
      <w:r w:rsidRPr="00BD293E">
        <w:rPr>
          <w:rStyle w:val="a5"/>
          <w:rFonts w:ascii="Times New Roman" w:hAnsi="Times New Roman" w:cs="Times New Roman"/>
          <w:shd w:val="clear" w:color="auto" w:fill="FFFFFF"/>
        </w:rPr>
        <w:t>Эр </w:t>
      </w:r>
      <w:r w:rsidRPr="00BD293E">
        <w:rPr>
          <w:rFonts w:ascii="Times New Roman" w:hAnsi="Times New Roman" w:cs="Times New Roman"/>
          <w:shd w:val="clear" w:color="auto" w:fill="FFFFFF"/>
        </w:rPr>
        <w:t>(Россия, праща, рог, Перун).</w:t>
      </w:r>
    </w:p>
    <w:p w14:paraId="6E85C166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shd w:val="clear" w:color="auto" w:fill="FFFFFF"/>
        </w:rPr>
        <w:t xml:space="preserve">В черновых записях Хлебникова, собранных в его последней рукописной книге «Гроссбух», встречаются варианты имени героя: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Зенгези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Мангези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Чангези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Чангили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— все эти имена звучат достаточно экзотично и необычно, «нецивилизованно» и в то же время позволяют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вчитать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в себя множество смыслов. По мнению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хлебниковеда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Виктора Григорьева, окончательный вариант имени «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контаминирует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назв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[</w:t>
      </w:r>
      <w:proofErr w:type="spellStart"/>
      <w:r w:rsidRPr="00BD293E">
        <w:rPr>
          <w:rFonts w:ascii="Times New Roman" w:hAnsi="Times New Roman" w:cs="Times New Roman"/>
          <w:shd w:val="clear" w:color="auto" w:fill="FFFFFF"/>
        </w:rPr>
        <w:t>ания</w:t>
      </w:r>
      <w:proofErr w:type="spellEnd"/>
      <w:r w:rsidRPr="00BD293E">
        <w:rPr>
          <w:rFonts w:ascii="Times New Roman" w:hAnsi="Times New Roman" w:cs="Times New Roman"/>
          <w:shd w:val="clear" w:color="auto" w:fill="FFFFFF"/>
        </w:rPr>
        <w:t>] рек — Ганга и Замбези как символы Евразии и Африки».</w:t>
      </w:r>
    </w:p>
    <w:p w14:paraId="1C59510E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</w:rPr>
        <w:t>В «Введении» к «</w:t>
      </w:r>
      <w:proofErr w:type="spellStart"/>
      <w:r w:rsidRPr="00BD293E">
        <w:rPr>
          <w:rFonts w:ascii="Times New Roman" w:hAnsi="Times New Roman" w:cs="Times New Roman"/>
        </w:rPr>
        <w:t>Зангези</w:t>
      </w:r>
      <w:proofErr w:type="spellEnd"/>
      <w:r w:rsidRPr="00BD293E">
        <w:rPr>
          <w:rFonts w:ascii="Times New Roman" w:hAnsi="Times New Roman" w:cs="Times New Roman"/>
        </w:rPr>
        <w:t xml:space="preserve">» о </w:t>
      </w:r>
      <w:proofErr w:type="spellStart"/>
      <w:r w:rsidRPr="00BD293E">
        <w:rPr>
          <w:rFonts w:ascii="Times New Roman" w:hAnsi="Times New Roman" w:cs="Times New Roman"/>
        </w:rPr>
        <w:t>обосновывае</w:t>
      </w:r>
      <w:proofErr w:type="spellEnd"/>
      <w:r w:rsidRPr="00BD293E">
        <w:rPr>
          <w:rFonts w:ascii="Times New Roman" w:hAnsi="Times New Roman" w:cs="Times New Roman"/>
        </w:rPr>
        <w:t xml:space="preserve"> </w:t>
      </w:r>
      <w:proofErr w:type="spellStart"/>
      <w:r w:rsidRPr="00BD293E">
        <w:rPr>
          <w:rFonts w:ascii="Times New Roman" w:hAnsi="Times New Roman" w:cs="Times New Roman"/>
        </w:rPr>
        <w:t>самы</w:t>
      </w:r>
      <w:proofErr w:type="spellEnd"/>
      <w:r w:rsidRPr="00BD293E">
        <w:rPr>
          <w:rFonts w:ascii="Times New Roman" w:hAnsi="Times New Roman" w:cs="Times New Roman"/>
        </w:rPr>
        <w:t xml:space="preserve"> </w:t>
      </w:r>
      <w:proofErr w:type="spellStart"/>
      <w:r w:rsidRPr="00BD293E">
        <w:rPr>
          <w:rFonts w:ascii="Times New Roman" w:hAnsi="Times New Roman" w:cs="Times New Roman"/>
        </w:rPr>
        <w:t>принци</w:t>
      </w:r>
      <w:proofErr w:type="spellEnd"/>
      <w:r w:rsidRPr="00BD293E">
        <w:rPr>
          <w:rFonts w:ascii="Times New Roman" w:hAnsi="Times New Roman" w:cs="Times New Roman"/>
        </w:rPr>
        <w:t xml:space="preserve"> построения, говор о том, что «Повесть строится из слов, как </w:t>
      </w:r>
      <w:proofErr w:type="spellStart"/>
      <w:r w:rsidRPr="00BD293E">
        <w:rPr>
          <w:rFonts w:ascii="Times New Roman" w:hAnsi="Times New Roman" w:cs="Times New Roman"/>
        </w:rPr>
        <w:t>строительно</w:t>
      </w:r>
      <w:proofErr w:type="spellEnd"/>
      <w:r w:rsidRPr="00BD293E">
        <w:rPr>
          <w:rFonts w:ascii="Times New Roman" w:hAnsi="Times New Roman" w:cs="Times New Roman"/>
        </w:rPr>
        <w:t xml:space="preserve"> единиц здания».</w:t>
      </w:r>
    </w:p>
    <w:p w14:paraId="29874840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</w:rPr>
      </w:pPr>
      <w:r w:rsidRPr="00BD293E">
        <w:rPr>
          <w:rFonts w:ascii="Times New Roman" w:hAnsi="Times New Roman" w:cs="Times New Roman"/>
        </w:rPr>
        <w:t>В «</w:t>
      </w:r>
      <w:proofErr w:type="spellStart"/>
      <w:r w:rsidRPr="00BD293E">
        <w:rPr>
          <w:rFonts w:ascii="Times New Roman" w:hAnsi="Times New Roman" w:cs="Times New Roman"/>
        </w:rPr>
        <w:t>Зангези</w:t>
      </w:r>
      <w:proofErr w:type="spellEnd"/>
      <w:r w:rsidRPr="00BD293E">
        <w:rPr>
          <w:rFonts w:ascii="Times New Roman" w:hAnsi="Times New Roman" w:cs="Times New Roman"/>
        </w:rPr>
        <w:t xml:space="preserve">» объединено всё сделанное Хлебниковым в разные этапы его творчества: здесь и «заумь», и «звёздный язык», и «язык птиц», и передач «голосов улицы». В движении человечества сквозь века, в сцеплении механизм «часов человечества» беспомощно-бесприютны остается, однако, сам </w:t>
      </w:r>
      <w:proofErr w:type="spellStart"/>
      <w:r w:rsidRPr="00BD293E">
        <w:rPr>
          <w:rFonts w:ascii="Times New Roman" w:hAnsi="Times New Roman" w:cs="Times New Roman"/>
        </w:rPr>
        <w:t>Зангези</w:t>
      </w:r>
      <w:proofErr w:type="spellEnd"/>
      <w:r w:rsidRPr="00BD293E">
        <w:rPr>
          <w:rFonts w:ascii="Times New Roman" w:hAnsi="Times New Roman" w:cs="Times New Roman"/>
        </w:rPr>
        <w:t xml:space="preserve">, который сравнивает - с «бабочкой, залетевшей в комнату человеческой жизни». Его мечта благородна — дать свобод людям, богам, животным, даже неживой природе. </w:t>
      </w:r>
    </w:p>
    <w:p w14:paraId="45EB81A3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Попытки связать математику с искусством были не уникальны для синтетического сознания авангарда и вообще модерна, внимательно следившего за наукой. Ср. мистерия В. Хлебникова «Скуфья скифа»:</w:t>
      </w:r>
    </w:p>
    <w:p w14:paraId="76D92181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02E74329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«</w:t>
      </w:r>
      <w:bookmarkStart w:id="0" w:name="p53"/>
      <w:bookmarkEnd w:id="0"/>
      <w:r w:rsidRPr="00BD293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Я </w:t>
      </w:r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знал, что </w:t>
      </w:r>
      <w:r w:rsidRPr="00BD293E">
        <w:rPr>
          <w:rFonts w:ascii="Times New Roman;serif" w:hAnsi="Times New Roman;serif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 wp14:anchorId="1F450B38" wp14:editId="36CC1326">
            <wp:extent cx="274320" cy="17526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нисколько не менее вещественно, чем 1; там, где есть 1, 2, 3, 4, там есть и — 1, и — 2, — 3, и </w:t>
      </w:r>
      <w:r w:rsidRPr="00BD293E">
        <w:rPr>
          <w:rFonts w:ascii="Times New Roman;serif" w:hAnsi="Times New Roman;serif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 wp14:anchorId="4E076E4C" wp14:editId="0E1F3D1E">
            <wp:extent cx="274320" cy="175260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, и </w:t>
      </w:r>
      <w:r w:rsidRPr="00BD293E">
        <w:rPr>
          <w:rFonts w:ascii="Times New Roman;serif" w:hAnsi="Times New Roman;serif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 wp14:anchorId="5F7863C4" wp14:editId="28983510">
            <wp:extent cx="289560" cy="175260"/>
            <wp:effectExtent l="0" t="0" r="0" b="0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, и </w:t>
      </w:r>
      <w:r w:rsidRPr="00BD293E">
        <w:rPr>
          <w:rFonts w:ascii="Times New Roman;serif" w:hAnsi="Times New Roman;serif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 wp14:anchorId="72387F00" wp14:editId="7C6D1B2E">
            <wp:extent cx="281940" cy="175260"/>
            <wp:effectExtent l="0" t="0" r="0" b="0"/>
            <wp:docPr id="4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. Где есть один человек и другой естественный ряд чисел людей, там, конечно, есть и </w:t>
      </w:r>
      <w:r w:rsidRPr="00BD293E">
        <w:rPr>
          <w:rFonts w:ascii="Times New Roman;serif" w:hAnsi="Times New Roman;serif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 wp14:anchorId="00B8C168" wp14:editId="4AE0527A">
            <wp:extent cx="708660" cy="175260"/>
            <wp:effectExtent l="0" t="0" r="0" b="0"/>
            <wp:docPr id="5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, и </w:t>
      </w:r>
      <w:r w:rsidRPr="00BD293E">
        <w:rPr>
          <w:rFonts w:ascii="Times New Roman;serif" w:hAnsi="Times New Roman;serif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 wp14:anchorId="1AC8E5CB" wp14:editId="28246906">
            <wp:extent cx="769620" cy="198120"/>
            <wp:effectExtent l="0" t="0" r="0" b="0"/>
            <wp:docPr id="6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>и</w:t>
      </w:r>
      <w:proofErr w:type="spellEnd"/>
      <w:r w:rsidRPr="00BD293E">
        <w:rPr>
          <w:rFonts w:ascii="Times New Roman;serif" w:hAnsi="Times New Roman;serif" w:cs="Times New Roman"/>
          <w:i/>
          <w:iCs/>
          <w:color w:val="000000"/>
          <w:shd w:val="clear" w:color="auto" w:fill="FFFFFF"/>
        </w:rPr>
        <w:t xml:space="preserve"> </w:t>
      </w:r>
      <w:r w:rsidRPr="00BD293E">
        <w:rPr>
          <w:i/>
          <w:iCs/>
          <w:noProof/>
          <w:color w:val="000000"/>
        </w:rPr>
        <w:drawing>
          <wp:inline distT="0" distB="0" distL="0" distR="0" wp14:anchorId="17DDE193" wp14:editId="36238870">
            <wp:extent cx="685800" cy="198120"/>
            <wp:effectExtent l="0" t="0" r="0" b="0"/>
            <wp:docPr id="7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i/>
          <w:iCs/>
          <w:color w:val="000000"/>
        </w:rPr>
        <w:t> </w:t>
      </w:r>
      <w:r w:rsidRPr="00BD293E">
        <w:rPr>
          <w:rFonts w:ascii="Times New Roman;serif" w:hAnsi="Times New Roman;serif"/>
          <w:i/>
          <w:iCs/>
          <w:color w:val="000000"/>
        </w:rPr>
        <w:t>n — людей=</w:t>
      </w:r>
      <w:r w:rsidRPr="00BD293E">
        <w:rPr>
          <w:rFonts w:ascii="Times New Roman;serif" w:hAnsi="Times New Roman;serif"/>
          <w:i/>
          <w:iCs/>
          <w:noProof/>
          <w:color w:val="000000"/>
        </w:rPr>
        <w:drawing>
          <wp:inline distT="0" distB="0" distL="0" distR="0" wp14:anchorId="0C3607D5" wp14:editId="0FD73360">
            <wp:extent cx="685800" cy="198120"/>
            <wp:effectExtent l="0" t="0" r="0" b="0"/>
            <wp:docPr id="8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/>
          <w:i/>
          <w:iCs/>
          <w:color w:val="000000"/>
        </w:rPr>
        <w:t>. Я сейчас, окруженный призраками, был 1 = </w:t>
      </w:r>
      <w:r w:rsidRPr="00BD293E">
        <w:rPr>
          <w:rFonts w:ascii="Times New Roman;serif" w:hAnsi="Times New Roman;serif"/>
          <w:i/>
          <w:iCs/>
          <w:noProof/>
          <w:color w:val="000000"/>
        </w:rPr>
        <w:drawing>
          <wp:inline distT="0" distB="0" distL="0" distR="0" wp14:anchorId="4DDA97CE" wp14:editId="55FEA0F0">
            <wp:extent cx="708660" cy="175260"/>
            <wp:effectExtent l="0" t="0" r="0" b="0"/>
            <wp:docPr id="9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1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93E">
        <w:rPr>
          <w:rFonts w:ascii="Times New Roman;serif" w:hAnsi="Times New Roman;serif"/>
          <w:i/>
          <w:iCs/>
          <w:color w:val="000000"/>
        </w:rPr>
        <w:t>.</w:t>
      </w:r>
    </w:p>
    <w:p w14:paraId="7D082194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bookmarkStart w:id="1" w:name="p54"/>
      <w:bookmarkEnd w:id="1"/>
      <w:r w:rsidRPr="00BD293E">
        <w:rPr>
          <w:rFonts w:ascii="Times New Roman;serif" w:hAnsi="Times New Roman;serif"/>
          <w:i/>
          <w:iCs/>
          <w:color w:val="000000"/>
        </w:rPr>
        <w:t>Пора научить людей извлекать вторичные корни из себя и из отрицательных людей. Пусть несколько искр больших искусств упадет в умы современников. А очаровательные искусства дробей, постигаемые внутренним опытом!</w:t>
      </w:r>
      <w:r w:rsidRPr="00BD293E">
        <w:rPr>
          <w:rFonts w:ascii="Times New Roman;serif" w:hAnsi="Times New Roman;serif"/>
          <w:color w:val="000000"/>
        </w:rPr>
        <w:t>»</w:t>
      </w:r>
    </w:p>
    <w:p w14:paraId="3BFD38FC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7C7FDCA8" w14:textId="77777777" w:rsidR="00BE03C5" w:rsidRPr="00BD293E" w:rsidRDefault="00000000" w:rsidP="00BD293E">
      <w:pPr>
        <w:ind w:firstLine="709"/>
        <w:jc w:val="center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НОВОКРЕСТЬЯНСКАЯ ПОЭЗИЯ</w:t>
      </w:r>
    </w:p>
    <w:p w14:paraId="50411350" w14:textId="77777777" w:rsidR="00BE03C5" w:rsidRPr="00BD293E" w:rsidRDefault="00BE03C5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14:paraId="6B8ECEAF" w14:textId="77777777" w:rsidR="00BE03C5" w:rsidRPr="00BD293E" w:rsidRDefault="00000000" w:rsidP="00BD293E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color w:val="12161E"/>
          <w:shd w:val="clear" w:color="auto" w:fill="FFFFFF"/>
        </w:rPr>
        <w:t>«</w:t>
      </w:r>
      <w:proofErr w:type="spellStart"/>
      <w:r w:rsidRPr="00BD293E">
        <w:rPr>
          <w:rFonts w:ascii="Times New Roman" w:hAnsi="Times New Roman" w:cs="Times New Roman"/>
          <w:color w:val="12161E"/>
          <w:shd w:val="clear" w:color="auto" w:fill="FFFFFF"/>
        </w:rPr>
        <w:t>Новокрестьянская</w:t>
      </w:r>
      <w:proofErr w:type="spellEnd"/>
      <w:r w:rsidRPr="00BD293E">
        <w:rPr>
          <w:rFonts w:ascii="Times New Roman" w:hAnsi="Times New Roman" w:cs="Times New Roman"/>
          <w:color w:val="12161E"/>
          <w:shd w:val="clear" w:color="auto" w:fill="FFFFFF"/>
        </w:rPr>
        <w:t>» поэзия с полным правом может считаться неотъемлемой частью творческого наследия</w:t>
      </w:r>
      <w:r w:rsidRPr="00BD293E">
        <w:rPr>
          <w:rFonts w:ascii="Times New Roman" w:hAnsi="Times New Roman" w:cs="Times New Roman"/>
          <w:color w:val="000000"/>
          <w:shd w:val="clear" w:color="auto" w:fill="FFFFFF"/>
        </w:rPr>
        <w:t xml:space="preserve"> русского Серебряного века. </w:t>
      </w:r>
    </w:p>
    <w:p w14:paraId="609BFB9F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Поэты, относившиеся к этой категории, развивали традиции крестьянской поэзии, а не замыкались в них. Поэтизация деревенского быта, нехитрых крестьянских ремесел и сельской природы являлись главными темами их стихов.</w:t>
      </w:r>
    </w:p>
    <w:p w14:paraId="5B10D9E7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Крестьянские поэты полемизировали одновременно с символистами и акмеистами. </w:t>
      </w:r>
      <w:proofErr w:type="spellStart"/>
      <w:r w:rsidRPr="00BD293E">
        <w:rPr>
          <w:rFonts w:ascii="Times New Roman" w:hAnsi="Times New Roman"/>
          <w:color w:val="000000"/>
        </w:rPr>
        <w:t>Клюевское</w:t>
      </w:r>
      <w:proofErr w:type="spellEnd"/>
      <w:r w:rsidRPr="00BD293E">
        <w:rPr>
          <w:rFonts w:ascii="Times New Roman" w:hAnsi="Times New Roman"/>
          <w:color w:val="000000"/>
        </w:rPr>
        <w:t xml:space="preserve"> программное стихотворение "Вы обещали нам сады..." (1912), посвященное К. Д. </w:t>
      </w:r>
      <w:r w:rsidRPr="00BD293E">
        <w:rPr>
          <w:rFonts w:ascii="Times New Roman" w:hAnsi="Times New Roman"/>
          <w:color w:val="000000"/>
        </w:rPr>
        <w:lastRenderedPageBreak/>
        <w:t>Бальмонту «Оттуда», построено на противопоставлении "вы - мы": </w:t>
      </w:r>
      <w:r w:rsidRPr="00BD293E">
        <w:rPr>
          <w:rStyle w:val="a7"/>
          <w:rFonts w:ascii="Times New Roman" w:hAnsi="Times New Roman"/>
          <w:b w:val="0"/>
          <w:i/>
          <w:color w:val="000000"/>
        </w:rPr>
        <w:t>вы - </w:t>
      </w:r>
      <w:r w:rsidRPr="00BD293E">
        <w:rPr>
          <w:rFonts w:ascii="Times New Roman" w:hAnsi="Times New Roman"/>
          <w:color w:val="000000"/>
        </w:rPr>
        <w:t>символисты, туманно-несбыточных идеалов, </w:t>
      </w:r>
      <w:r w:rsidRPr="00BD293E">
        <w:rPr>
          <w:rStyle w:val="a7"/>
          <w:rFonts w:ascii="Times New Roman" w:hAnsi="Times New Roman"/>
          <w:b w:val="0"/>
          <w:i/>
          <w:color w:val="000000"/>
        </w:rPr>
        <w:t>мы - </w:t>
      </w:r>
      <w:r w:rsidRPr="00BD293E">
        <w:rPr>
          <w:rFonts w:ascii="Times New Roman" w:hAnsi="Times New Roman"/>
          <w:color w:val="000000"/>
        </w:rPr>
        <w:t>поэты из народа.</w:t>
      </w:r>
    </w:p>
    <w:p w14:paraId="30845646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...Облетел ваш сад узорный, </w:t>
      </w:r>
    </w:p>
    <w:p w14:paraId="5FEE8FB9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>Ручьи отравой потекли.</w:t>
      </w:r>
    </w:p>
    <w:p w14:paraId="5E0C934F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За пришлецами напоследок </w:t>
      </w:r>
    </w:p>
    <w:p w14:paraId="237C1525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Идем неведомые Мы, - </w:t>
      </w:r>
    </w:p>
    <w:p w14:paraId="6A43DEF1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Наш аромат смолист и едок, </w:t>
      </w:r>
    </w:p>
    <w:p w14:paraId="48CCADB9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>Мы освежительной зимы.</w:t>
      </w:r>
    </w:p>
    <w:p w14:paraId="6F317ACE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Вскормили нас ущелий недра, </w:t>
      </w:r>
    </w:p>
    <w:p w14:paraId="5841208E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Вспоил дождями небосклон. </w:t>
      </w:r>
    </w:p>
    <w:p w14:paraId="558ABAD5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Мы - валуны, седые кедры, </w:t>
      </w:r>
    </w:p>
    <w:p w14:paraId="462E4FA6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>Лесных ключей и сосен звон.</w:t>
      </w:r>
    </w:p>
    <w:p w14:paraId="79B27E13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/>
          <w:color w:val="000000"/>
        </w:rPr>
        <w:t xml:space="preserve">«Оттуда» Константина Дмитриевича Бальмонта – обещание увести читателей с помощью поэзии из мира реального, где проблемы, несчастья, потрясения, в возвышенно-прекрасный мир грез. В той стране нет «ни печали, ни заката», там «свежесть утренней звезды», там «спят </w:t>
      </w:r>
      <w:proofErr w:type="spellStart"/>
      <w:r w:rsidRPr="00BD293E">
        <w:rPr>
          <w:rFonts w:ascii="Times New Roman" w:hAnsi="Times New Roman"/>
          <w:color w:val="000000"/>
        </w:rPr>
        <w:t>нешепчущие</w:t>
      </w:r>
      <w:proofErr w:type="spellEnd"/>
      <w:r w:rsidRPr="00BD293E">
        <w:rPr>
          <w:rFonts w:ascii="Times New Roman" w:hAnsi="Times New Roman"/>
          <w:color w:val="000000"/>
        </w:rPr>
        <w:t xml:space="preserve"> реки». В общем, Бальмонт описывает настоящий райский уголок.</w:t>
      </w:r>
    </w:p>
    <w:p w14:paraId="4F9B98E3" w14:textId="77777777" w:rsidR="00BE03C5" w:rsidRPr="00BD293E" w:rsidRDefault="00000000" w:rsidP="00BD293E">
      <w:pPr>
        <w:pStyle w:val="a1"/>
        <w:spacing w:after="0" w:line="240" w:lineRule="auto"/>
        <w:ind w:firstLine="709"/>
        <w:jc w:val="both"/>
        <w:rPr>
          <w:color w:val="000000"/>
        </w:rPr>
      </w:pPr>
      <w:r w:rsidRPr="00BD293E">
        <w:rPr>
          <w:rFonts w:ascii="Times New Roman" w:hAnsi="Times New Roman" w:cs="Times New Roman"/>
          <w:color w:val="000000"/>
          <w:shd w:val="clear" w:color="auto" w:fill="FFFFFF"/>
        </w:rPr>
        <w:t>Клюев обещаниям символистов не верит. По его мнению, в землях, изображенных Константином Дмитриевичем, живут Чума, Увечье, Голод, Убийство, Бедность, Разврат и Страх. Окультуренной природе Н. Клюев противопоставляет природу дикую. Он считает, что очищение человека происходит под воздействием силы, идущей из недр крестьянского мира.</w:t>
      </w:r>
    </w:p>
    <w:p w14:paraId="501EFE0D" w14:textId="77777777" w:rsidR="00BD293E" w:rsidRPr="00BD293E" w:rsidRDefault="00BD293E">
      <w:pPr>
        <w:pStyle w:val="a1"/>
        <w:spacing w:after="0" w:line="240" w:lineRule="auto"/>
        <w:ind w:firstLine="709"/>
        <w:jc w:val="both"/>
        <w:rPr>
          <w:rFonts w:hint="eastAsia"/>
          <w:color w:val="000000"/>
        </w:rPr>
      </w:pPr>
    </w:p>
    <w:sectPr w:rsidR="00BD293E" w:rsidRPr="00BD293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70269"/>
    <w:multiLevelType w:val="multilevel"/>
    <w:tmpl w:val="580ADE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4869E5"/>
    <w:multiLevelType w:val="multilevel"/>
    <w:tmpl w:val="6B54D4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D1F3C7A"/>
    <w:multiLevelType w:val="multilevel"/>
    <w:tmpl w:val="B9B622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62290FD6"/>
    <w:multiLevelType w:val="multilevel"/>
    <w:tmpl w:val="8242ACC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456CCC"/>
    <w:multiLevelType w:val="multilevel"/>
    <w:tmpl w:val="179C24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785231442">
    <w:abstractNumId w:val="3"/>
  </w:num>
  <w:num w:numId="2" w16cid:durableId="586888491">
    <w:abstractNumId w:val="4"/>
  </w:num>
  <w:num w:numId="3" w16cid:durableId="1615481962">
    <w:abstractNumId w:val="2"/>
  </w:num>
  <w:num w:numId="4" w16cid:durableId="857348913">
    <w:abstractNumId w:val="1"/>
  </w:num>
  <w:num w:numId="5" w16cid:durableId="174787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3C5"/>
    <w:rsid w:val="002D6BE0"/>
    <w:rsid w:val="00BD293E"/>
    <w:rsid w:val="00BE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B9DF"/>
  <w15:docId w15:val="{6D6B54BE-FCAD-4051-87BC-17B42876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0"/>
    <w:next w:val="a1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  <w:lang/>
    </w:rPr>
  </w:style>
  <w:style w:type="character" w:styleId="a5">
    <w:name w:val="Emphasis"/>
    <w:qFormat/>
    <w:rPr>
      <w:i/>
      <w:iCs/>
    </w:rPr>
  </w:style>
  <w:style w:type="character" w:customStyle="1" w:styleId="a6">
    <w:name w:val="Выделение жирным"/>
    <w:qFormat/>
    <w:rPr>
      <w:b/>
      <w:bCs/>
    </w:rPr>
  </w:style>
  <w:style w:type="character" w:customStyle="1" w:styleId="footnote">
    <w:name w:val="footnote"/>
    <w:basedOn w:val="a2"/>
    <w:qFormat/>
  </w:style>
  <w:style w:type="character" w:styleId="a7">
    <w:name w:val="Strong"/>
    <w:qFormat/>
    <w:rPr>
      <w:b/>
      <w:bCs/>
    </w:rPr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  <w:rPr>
      <w:lang/>
    </w:rPr>
  </w:style>
  <w:style w:type="paragraph" w:styleId="ab">
    <w:name w:val="List Paragraph"/>
    <w:basedOn w:val="a"/>
    <w:qFormat/>
    <w:pPr>
      <w:spacing w:after="200"/>
      <w:ind w:left="720"/>
      <w:contextualSpacing/>
    </w:pPr>
  </w:style>
  <w:style w:type="paragraph" w:styleId="ac">
    <w:name w:val="Normal (Web)"/>
    <w:basedOn w:val="a"/>
    <w:qFormat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vb.ru/hlebnikov/tekst/001stihi/117.htm" TargetMode="External"/><Relationship Id="rId11" Type="http://schemas.openxmlformats.org/officeDocument/2006/relationships/image" Target="media/image5.gif"/><Relationship Id="rId5" Type="http://schemas.openxmlformats.org/officeDocument/2006/relationships/hyperlink" Target="https://godliteratury.ru/projects/gzengza-yaskta-velimir-khlebnikov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2249</Words>
  <Characters>12821</Characters>
  <Application>Microsoft Office Word</Application>
  <DocSecurity>0</DocSecurity>
  <Lines>106</Lines>
  <Paragraphs>30</Paragraphs>
  <ScaleCrop>false</ScaleCrop>
  <Company/>
  <LinksUpToDate>false</LinksUpToDate>
  <CharactersWithSpaces>15040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3</cp:revision>
  <dcterms:created xsi:type="dcterms:W3CDTF">2024-06-14T15:25:00Z</dcterms:created>
  <dcterms:modified xsi:type="dcterms:W3CDTF">2025-03-04T10:34:00Z</dcterms:modified>
  <dc:language>ru-RU</dc:language>
</cp:coreProperties>
</file>