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DADD7" w14:textId="77777777" w:rsidR="00470466" w:rsidRPr="001A436A" w:rsidRDefault="001A436A" w:rsidP="001A436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A436A">
        <w:rPr>
          <w:rFonts w:ascii="Times New Roman" w:hAnsi="Times New Roman" w:cs="Times New Roman"/>
          <w:b/>
          <w:sz w:val="26"/>
          <w:szCs w:val="26"/>
        </w:rPr>
        <w:t>ЛЕКЦИЯ 2: СРЕДА КАК ИСТОЧНИК РАЗВИТИЯ: СОЗДАНИЕ СТИМУЛИРУЮЩЕГО ПРОСТРАНСТВА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14:paraId="58F2CFE5" w14:textId="77777777" w:rsidR="00470466" w:rsidRDefault="00470466" w:rsidP="001A436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761E6645" w14:textId="77777777" w:rsidR="00470466" w:rsidRPr="001A436A" w:rsidRDefault="001A436A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436A">
        <w:rPr>
          <w:rFonts w:ascii="Times New Roman" w:hAnsi="Times New Roman" w:cs="Times New Roman"/>
          <w:b/>
          <w:sz w:val="26"/>
          <w:szCs w:val="26"/>
        </w:rPr>
        <w:t>1. Понятие развивающей среды.</w:t>
      </w:r>
    </w:p>
    <w:p w14:paraId="07465C5B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Развивающая среда — это система условий, обеспечивающих полноценное развитие деятельности ребенка и его личности, направленное на освоение социального опыта и культурных ценностей. Среда включает в себя два основных аспекта, которые тесно взаимосвязаны:</w:t>
      </w:r>
    </w:p>
    <w:p w14:paraId="3151C921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Социальная среда (микросоциум): Взаимодействие с родителями, педагогами, сверстниками. Это психологическая атмосфера, стиль общения, система требований и поощрений.</w:t>
      </w:r>
    </w:p>
    <w:p w14:paraId="299DC810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Предметно-пространственная среда (макросоциум): Организация физического пространства (дом, класс, детская площадка) с помощью специально подобранных объектов, материалов и оборудования.</w:t>
      </w:r>
    </w:p>
    <w:p w14:paraId="2510D5D2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 xml:space="preserve">Эффективная стимулирующая среда должна соответствовать ряду ключевых </w:t>
      </w:r>
      <w:r w:rsidRPr="001A436A">
        <w:rPr>
          <w:rFonts w:ascii="Times New Roman" w:hAnsi="Times New Roman" w:cs="Times New Roman"/>
          <w:b/>
          <w:sz w:val="26"/>
          <w:szCs w:val="26"/>
        </w:rPr>
        <w:t>принципов</w:t>
      </w:r>
      <w:r w:rsidRPr="00470466">
        <w:rPr>
          <w:rFonts w:ascii="Times New Roman" w:hAnsi="Times New Roman" w:cs="Times New Roman"/>
          <w:sz w:val="26"/>
          <w:szCs w:val="26"/>
        </w:rPr>
        <w:t>, которые обеспечивают неформальное, деятельностное развитие ребенка:</w:t>
      </w:r>
    </w:p>
    <w:p w14:paraId="11E7A21F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Принцип насыщенности: Наличие разнообразных, адекватных возрасту материалов, стимулирующих познавательные процессы (книги, конструкторы, природные материалы, инструменты для экспериментирования).</w:t>
      </w:r>
    </w:p>
    <w:p w14:paraId="7E434803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Принцип полифункциональности: Использование предметов, которые могут быть применены в различных видах деятельности (например, модули, которые могут стать мебелью, крепостью или деталями конструктора). Это стимулирует творческое воображение и дивергентное мышление.</w:t>
      </w:r>
    </w:p>
    <w:p w14:paraId="762EA99A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Принцип трансформируемости: Возможность легкого изменения среды самим ребенком или совместно с взрослым, что позволяет создавать новые игровые и учебные ситуации. Это развивает самостоятельность и планирование.</w:t>
      </w:r>
    </w:p>
    <w:p w14:paraId="772D655D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Принцип доступности и безопасности: Свободный доступ ко всем элементам среды, безопасность используемых материалов.</w:t>
      </w:r>
    </w:p>
    <w:p w14:paraId="23969AB2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Принцип вариативности: Наличие различных пространств для разных видов активности (для тихих занятий, для активного движения, для уединения).</w:t>
      </w:r>
    </w:p>
    <w:p w14:paraId="63B96685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Принцип интеграции: Слияние элементов разных видов деятельности в едином пространстве (например, интеграция художественного творчества и математических задач).</w:t>
      </w:r>
    </w:p>
    <w:p w14:paraId="5A9EDD92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BA72167" w14:textId="77777777" w:rsidR="00470466" w:rsidRPr="001A436A" w:rsidRDefault="00470466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436A">
        <w:rPr>
          <w:rFonts w:ascii="Times New Roman" w:hAnsi="Times New Roman" w:cs="Times New Roman"/>
          <w:b/>
          <w:sz w:val="26"/>
          <w:szCs w:val="26"/>
        </w:rPr>
        <w:t>2. Психологичес</w:t>
      </w:r>
      <w:r w:rsidR="001A436A" w:rsidRPr="001A436A">
        <w:rPr>
          <w:rFonts w:ascii="Times New Roman" w:hAnsi="Times New Roman" w:cs="Times New Roman"/>
          <w:b/>
          <w:sz w:val="26"/>
          <w:szCs w:val="26"/>
        </w:rPr>
        <w:t>кая безопасность и партнерство.</w:t>
      </w:r>
    </w:p>
    <w:p w14:paraId="75B92D74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Критически важным элементом, влияющим на внутреннюю мотивацию ребенка, является психологический климат в семье и образовательном учреждении.</w:t>
      </w:r>
    </w:p>
    <w:p w14:paraId="5C11AE74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Психологическая безопасность — это состояние, при котором ребенок чувствует себя защищенным, принимаемым и свободным от страха негативной оценки или наказания за свои действия.</w:t>
      </w:r>
    </w:p>
    <w:p w14:paraId="2D5E86F6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Риск-ориентированное поведение: Творчество и познание по своей сути являются рискованными действиями, поскольку они предполагают отказ от известных путей и возможность ошибки. Страх ошибки — главный барьер для творческой мотивации.</w:t>
      </w:r>
    </w:p>
    <w:p w14:paraId="1E6C57A6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Устранение критики личности: Необходимо критиковать действие или продукт, но никогда личность ребенка. Установка на развитие вместо устан</w:t>
      </w:r>
      <w:r w:rsidR="001A436A">
        <w:rPr>
          <w:rFonts w:ascii="Times New Roman" w:hAnsi="Times New Roman" w:cs="Times New Roman"/>
          <w:sz w:val="26"/>
          <w:szCs w:val="26"/>
        </w:rPr>
        <w:t xml:space="preserve">овки на данность </w:t>
      </w:r>
      <w:r w:rsidRPr="00470466">
        <w:rPr>
          <w:rFonts w:ascii="Times New Roman" w:hAnsi="Times New Roman" w:cs="Times New Roman"/>
          <w:sz w:val="26"/>
          <w:szCs w:val="26"/>
        </w:rPr>
        <w:t>формирует убеждение, что способности можно развивать через усилия.</w:t>
      </w:r>
    </w:p>
    <w:p w14:paraId="3D6B2B56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Стиль взаимодействия взрослого играет решающую роль в развитии внутренней мотивации:</w:t>
      </w:r>
    </w:p>
    <w:p w14:paraId="536A4647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Директивный стиль: Взрослый контролирует, дает жесткие указания, что подавляет инициативу и формирует внешнюю мотивацию ("я делаю, чтобы угодить взрослому").</w:t>
      </w:r>
    </w:p>
    <w:p w14:paraId="2F16E8F0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Стиль партнерства (фасилитация): Взрослый выступает как помощник, соучастник и ресурс, который:</w:t>
      </w:r>
    </w:p>
    <w:p w14:paraId="1CF2FC2E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lastRenderedPageBreak/>
        <w:t>Задает открытые вопросы ("Как ты думаешь, почему это произошло?", "Что еще можно попробовать?").</w:t>
      </w:r>
    </w:p>
    <w:p w14:paraId="30C14502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Поощряет самостоятельный поиск решения, а не предлагает готовый ответ.</w:t>
      </w:r>
    </w:p>
    <w:p w14:paraId="01811E78" w14:textId="77777777" w:rsidR="00470466" w:rsidRPr="00470466" w:rsidRDefault="00470466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Признает и ва</w:t>
      </w:r>
      <w:r w:rsidR="001A436A">
        <w:rPr>
          <w:rFonts w:ascii="Times New Roman" w:hAnsi="Times New Roman" w:cs="Times New Roman"/>
          <w:sz w:val="26"/>
          <w:szCs w:val="26"/>
        </w:rPr>
        <w:t>лидирует эмоции и идеи ребенка.</w:t>
      </w:r>
    </w:p>
    <w:p w14:paraId="517A92AC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Это соответствует подходу поддерживающей автономии, когда взрослый стимулирует чувство компетентности и самодетерминации у ребенка, являющихся основой внутренней мотивации.</w:t>
      </w:r>
    </w:p>
    <w:p w14:paraId="6659A959" w14:textId="77777777" w:rsidR="001A436A" w:rsidRDefault="001A436A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8C2B0F9" w14:textId="77777777" w:rsidR="00470466" w:rsidRPr="001A436A" w:rsidRDefault="00470466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436A">
        <w:rPr>
          <w:rFonts w:ascii="Times New Roman" w:hAnsi="Times New Roman" w:cs="Times New Roman"/>
          <w:b/>
          <w:sz w:val="26"/>
          <w:szCs w:val="26"/>
        </w:rPr>
        <w:t xml:space="preserve">3. Роль игры как ведущей </w:t>
      </w:r>
      <w:r w:rsidR="001A436A">
        <w:rPr>
          <w:rFonts w:ascii="Times New Roman" w:hAnsi="Times New Roman" w:cs="Times New Roman"/>
          <w:b/>
          <w:sz w:val="26"/>
          <w:szCs w:val="26"/>
        </w:rPr>
        <w:t>деятельности в развитии ТМ и ПА.</w:t>
      </w:r>
    </w:p>
    <w:p w14:paraId="000BFAAE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В дошкольном возрасте игра является ведущим видом деятельности, в которой наиболее полно реализуется потенциал познавательной активности и творческой мотивации.</w:t>
      </w:r>
    </w:p>
    <w:p w14:paraId="669C9DDB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1. Игра как пространство для познавательной активности</w:t>
      </w:r>
      <w:r w:rsidR="001A436A">
        <w:rPr>
          <w:rFonts w:ascii="Times New Roman" w:hAnsi="Times New Roman" w:cs="Times New Roman"/>
          <w:sz w:val="26"/>
          <w:szCs w:val="26"/>
        </w:rPr>
        <w:t>.</w:t>
      </w:r>
    </w:p>
    <w:p w14:paraId="2160C0B0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Экспериментирование в игре: Сюжетно-ролевая игра позволяет ребенку проигрывать и исследовать социальные роли, нормы и причинно-следственные связи (например, игра в доктора, где осваиваются функции и взаимодействие).</w:t>
      </w:r>
    </w:p>
    <w:p w14:paraId="17CCF728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Познавательные дидактические игры: Специально разработанные игры, направленные на развитие сенсорных эталонов, логики и внимания (например, головоломки, классификации). Они тренируют когнитивный компонент ПА.</w:t>
      </w:r>
    </w:p>
    <w:p w14:paraId="2D327D7E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2. Игра как источник творческой мотивации</w:t>
      </w:r>
      <w:r w:rsidR="001A436A">
        <w:rPr>
          <w:rFonts w:ascii="Times New Roman" w:hAnsi="Times New Roman" w:cs="Times New Roman"/>
          <w:sz w:val="26"/>
          <w:szCs w:val="26"/>
        </w:rPr>
        <w:t>.</w:t>
      </w:r>
    </w:p>
    <w:p w14:paraId="05051AF3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Сюжетно-ролевая игра и воображение: Игра требует создания воображаемой ситуации и оперирования заместителями (палочка вместо меча), что является прямым тренажером творческого мышления и гибкости.</w:t>
      </w:r>
    </w:p>
    <w:p w14:paraId="2FE79D64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Игровая мотивация: В игре мотив лежит внутри самой деятельности. Ребенок играет потому, что ему это нравится (интринсивный мотив). Это переносится на учебную деятельность: если учебная задача представлена в игровой форме, ее выполнение становится самоценным.</w:t>
      </w:r>
    </w:p>
    <w:p w14:paraId="638DD93F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Режиссерская игра: Форма игры, где ребенок управляет игрушками как актерами, что развивает планирование, нарративные способности и комбинаторные навыки.</w:t>
      </w:r>
    </w:p>
    <w:p w14:paraId="53D43082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E55D747" w14:textId="77777777" w:rsidR="00470466" w:rsidRPr="001A436A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436A">
        <w:rPr>
          <w:rFonts w:ascii="Times New Roman" w:hAnsi="Times New Roman" w:cs="Times New Roman"/>
          <w:b/>
          <w:sz w:val="26"/>
          <w:szCs w:val="26"/>
        </w:rPr>
        <w:t>4. Поддержка самостоятельности и исследовательской деятельности</w:t>
      </w:r>
      <w:r w:rsidR="001A436A">
        <w:rPr>
          <w:rFonts w:ascii="Times New Roman" w:hAnsi="Times New Roman" w:cs="Times New Roman"/>
          <w:b/>
          <w:sz w:val="26"/>
          <w:szCs w:val="26"/>
        </w:rPr>
        <w:t>.</w:t>
      </w:r>
    </w:p>
    <w:p w14:paraId="0E306F6D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Истинная творческая и познавательная активность может возникнуть только в условиях самостоятельности и предоставления свободы выбора.</w:t>
      </w:r>
    </w:p>
    <w:p w14:paraId="732F57A6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Самостоятельность — это способность ребенка к автономному выбору целей, средств и способов их достижения. Чем выше уровень самостоятельности, тем сильнее внутренняя, самодетерминированная мотивация.</w:t>
      </w:r>
    </w:p>
    <w:p w14:paraId="7A427E34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Выбор деятельности: Предоставление ребенку права выбора, чем заниматься (например, в свободном центре активности), значительно повышает его вовлеченность и ответственность.</w:t>
      </w:r>
    </w:p>
    <w:p w14:paraId="63F07751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Выбор материала: Возможность самостоятельно выбирать материалы для творческой работы (бумага, краски, глина, бросовый материал) стимулирует оригинальность и творческий поиск.</w:t>
      </w:r>
    </w:p>
    <w:p w14:paraId="1B1E43F5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Исследовательская деятельность является высшей формой ПА и непосредственным мостиком к ТМ.</w:t>
      </w:r>
    </w:p>
    <w:p w14:paraId="7321C633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Уголок экспериментирования (Сенсорный центр): Необходимо обеспечить доступ к материалам для простейших опытов (вода, песок, магниты, лупы, пипетки). Это позволяет ребенку самостоятельно устанавливать причинно-следственные связи и формулировать гипотезы.</w:t>
      </w:r>
    </w:p>
    <w:p w14:paraId="71BD7535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Проектный метод: Введение элементов проектной деятельности (даже на уровне дошкольного возраста) учит ребенка формулировать проблему, планировать шаги, собирать информацию и представлять результат. Проект всегда требует творческого подхода к решению уникальной задачи.</w:t>
      </w:r>
    </w:p>
    <w:p w14:paraId="0C4654A3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lastRenderedPageBreak/>
        <w:t>Метод "открытых заданий": Задания, которые не имеют единственно правильного ответа, а предполагают множество вариантов решения (например, "Придумай 10 способов использования старой коробки"). Это прямо развивает дивергентное мышление — ядро креативности.</w:t>
      </w:r>
    </w:p>
    <w:p w14:paraId="0129B7BA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87A0B20" w14:textId="77777777" w:rsidR="00470466" w:rsidRPr="001A436A" w:rsidRDefault="00470466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436A">
        <w:rPr>
          <w:rFonts w:ascii="Times New Roman" w:hAnsi="Times New Roman" w:cs="Times New Roman"/>
          <w:b/>
          <w:sz w:val="26"/>
          <w:szCs w:val="26"/>
        </w:rPr>
        <w:t>5. Влияние предметно-пространственно</w:t>
      </w:r>
      <w:r w:rsidR="001A436A">
        <w:rPr>
          <w:rFonts w:ascii="Times New Roman" w:hAnsi="Times New Roman" w:cs="Times New Roman"/>
          <w:b/>
          <w:sz w:val="26"/>
          <w:szCs w:val="26"/>
        </w:rPr>
        <w:t>й среды на когнитивные процессы.</w:t>
      </w:r>
    </w:p>
    <w:p w14:paraId="3D099914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Качество физического окружения напрямую воздействует на когнитивную нагрузку и характер мышления ребенка.</w:t>
      </w:r>
    </w:p>
    <w:p w14:paraId="34425A06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Среда должна быть оптимально сложной. Избыточная простота ведет к скуке и потере интереса, избыточная сложность — к тревоге и отказу от деятельности.</w:t>
      </w:r>
    </w:p>
    <w:p w14:paraId="70847623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Стимуляция сенсорных систем: Использование текстур, цветов, звуков и запахов для поддержания сенсорной активности, которая является основой для познавательной деятельности в раннем возрасте.</w:t>
      </w:r>
    </w:p>
    <w:p w14:paraId="24B51461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Наличие "незавершенных" материалов: Глина, пластилин, блоки, бумага — материалы, которые требуют воображения для придания им формы. Они стимулируют творчество в большей степени, чем готовые игрушки.</w:t>
      </w:r>
    </w:p>
    <w:p w14:paraId="51DB83DC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Пространство должно быть четко зонировано для поддержки различных видов активности:</w:t>
      </w:r>
    </w:p>
    <w:p w14:paraId="6D5E78B8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Зона тихих игр/чтения: Поддерживает концентрацию внимания и внутреннюю рефлексию.</w:t>
      </w:r>
    </w:p>
    <w:p w14:paraId="5C4A16F7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Зона ролевых игр: Стимулирует социальное взаимодействие и творческое воображение.</w:t>
      </w:r>
    </w:p>
    <w:p w14:paraId="215FDFC5" w14:textId="77777777" w:rsidR="00470466" w:rsidRPr="00470466" w:rsidRDefault="001A436A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Зона конструирования</w:t>
      </w:r>
      <w:r w:rsidR="00470466" w:rsidRPr="00470466">
        <w:rPr>
          <w:rFonts w:ascii="Times New Roman" w:hAnsi="Times New Roman" w:cs="Times New Roman"/>
          <w:sz w:val="26"/>
          <w:szCs w:val="26"/>
        </w:rPr>
        <w:t>: Развивает пространственное мышление и конструкторские способности.</w:t>
      </w:r>
    </w:p>
    <w:p w14:paraId="76183A77" w14:textId="77777777" w:rsidR="00470466" w:rsidRPr="00470466" w:rsidRDefault="00470466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Зона движения: Обеспечивает физическую разрядку, необходимую для поддержания оптимального уровня во</w:t>
      </w:r>
      <w:r w:rsidR="001A436A">
        <w:rPr>
          <w:rFonts w:ascii="Times New Roman" w:hAnsi="Times New Roman" w:cs="Times New Roman"/>
          <w:sz w:val="26"/>
          <w:szCs w:val="26"/>
        </w:rPr>
        <w:t>збуждения коры головного мозга.</w:t>
      </w:r>
    </w:p>
    <w:p w14:paraId="1A87E663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Правильное зонирование позволяет ребенку самостоятельно регулировать свою активность в соответствии со своими потребностями и уровнем мотивации.</w:t>
      </w:r>
    </w:p>
    <w:p w14:paraId="6A9E20E1" w14:textId="77777777" w:rsidR="001A436A" w:rsidRDefault="001A436A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4F604B6D" w14:textId="77777777" w:rsidR="00470466" w:rsidRPr="001A436A" w:rsidRDefault="00470466" w:rsidP="001A436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A436A">
        <w:rPr>
          <w:rFonts w:ascii="Times New Roman" w:hAnsi="Times New Roman" w:cs="Times New Roman"/>
          <w:b/>
          <w:sz w:val="26"/>
          <w:szCs w:val="26"/>
        </w:rPr>
        <w:t>6. Роль и функции взрослого (педагога/родителя) в развивающей среде</w:t>
      </w:r>
      <w:r w:rsidR="001A436A" w:rsidRPr="001A436A">
        <w:rPr>
          <w:rFonts w:ascii="Times New Roman" w:hAnsi="Times New Roman" w:cs="Times New Roman"/>
          <w:b/>
          <w:sz w:val="26"/>
          <w:szCs w:val="26"/>
        </w:rPr>
        <w:t>.</w:t>
      </w:r>
    </w:p>
    <w:p w14:paraId="3C3A7FD2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В развивающей среде взрослый перестает быть "передатчиком знаний" и приобретает новые ключевые функции.</w:t>
      </w:r>
    </w:p>
    <w:p w14:paraId="2B46725B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Фасилитатор: Создает условия, обеспечивает ресурсами, помогает в организации, но не вмешивается в процесс, если его не просят.</w:t>
      </w:r>
    </w:p>
    <w:p w14:paraId="489DE972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Провокатор: Преднамеренно создает познавательные затруднения или проблемные ситуации, чтобы стимулировать ребенка к самостоятельному поиску (например, предлагает материал, который ломает привычную схему действия).</w:t>
      </w:r>
    </w:p>
    <w:p w14:paraId="6D1192D4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Дети учатся, наблюдая за взрослыми. Взрослый должен сам демонстрировать:</w:t>
      </w:r>
    </w:p>
    <w:p w14:paraId="563AB5BE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Любознательность: Совместно с ребенком удивляться, задавать вопросы, выражать интерес к новым объектам.</w:t>
      </w:r>
    </w:p>
    <w:p w14:paraId="255B1510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Принятие риска: Спокойно относиться к ошибкам, демонстрировать, как можно извлечь урок из неудачи.</w:t>
      </w:r>
    </w:p>
    <w:p w14:paraId="3243D4E4" w14:textId="77777777" w:rsidR="00470466" w:rsidRPr="00470466" w:rsidRDefault="00470466" w:rsidP="004704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Творческий поиск: Предлагать несколько вариантов решения бытовых или учебных проблем.</w:t>
      </w:r>
    </w:p>
    <w:p w14:paraId="51F4466A" w14:textId="01591556" w:rsidR="00800554" w:rsidRPr="009F5C4F" w:rsidRDefault="00470466" w:rsidP="00F93E3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70466">
        <w:rPr>
          <w:rFonts w:ascii="Times New Roman" w:hAnsi="Times New Roman" w:cs="Times New Roman"/>
          <w:sz w:val="26"/>
          <w:szCs w:val="26"/>
        </w:rPr>
        <w:t>Развитие творческой мотивации и познавательной активности ребенка — это, прежде всего, результат целенаправленно созданной, психологически безопасной и материально насыщенной среды. Социальный компонент среды, основанный на партнерстве и поддерживающей автономии, устраняет страх ошибки и кул</w:t>
      </w:r>
      <w:r w:rsidR="001A436A">
        <w:rPr>
          <w:rFonts w:ascii="Times New Roman" w:hAnsi="Times New Roman" w:cs="Times New Roman"/>
          <w:sz w:val="26"/>
          <w:szCs w:val="26"/>
        </w:rPr>
        <w:t xml:space="preserve">ьтивирует внутреннюю мотивацию. </w:t>
      </w:r>
      <w:r w:rsidRPr="00470466">
        <w:rPr>
          <w:rFonts w:ascii="Times New Roman" w:hAnsi="Times New Roman" w:cs="Times New Roman"/>
          <w:sz w:val="26"/>
          <w:szCs w:val="26"/>
        </w:rPr>
        <w:t>Именно в такой стимулирующей среде, где взрослый выступает фасилитатором, а игра — ведущим механизмом, ребенок переходит от простого потребления информации к ее активному созданию и преобразованию, что является основой формирования творческой личности.</w:t>
      </w:r>
    </w:p>
    <w:sectPr w:rsidR="00800554" w:rsidRPr="009F5C4F" w:rsidSect="00017DA1">
      <w:footerReference w:type="default" r:id="rId6"/>
      <w:pgSz w:w="11906" w:h="16838" w:code="9"/>
      <w:pgMar w:top="567" w:right="851" w:bottom="567" w:left="85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8D060" w14:textId="77777777" w:rsidR="003F6546" w:rsidRDefault="003F6546" w:rsidP="00017DA1">
      <w:pPr>
        <w:spacing w:after="0" w:line="240" w:lineRule="auto"/>
      </w:pPr>
      <w:r>
        <w:separator/>
      </w:r>
    </w:p>
  </w:endnote>
  <w:endnote w:type="continuationSeparator" w:id="0">
    <w:p w14:paraId="19F14883" w14:textId="77777777" w:rsidR="003F6546" w:rsidRDefault="003F6546" w:rsidP="0001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</w:rPr>
      <w:id w:val="-639731375"/>
      <w:docPartObj>
        <w:docPartGallery w:val="Page Numbers (Bottom of Page)"/>
        <w:docPartUnique/>
      </w:docPartObj>
    </w:sdtPr>
    <w:sdtEndPr/>
    <w:sdtContent>
      <w:p w14:paraId="2060E5D1" w14:textId="77777777" w:rsidR="00017DA1" w:rsidRPr="00017DA1" w:rsidRDefault="00017DA1">
        <w:pPr>
          <w:pStyle w:val="a5"/>
          <w:jc w:val="center"/>
          <w:rPr>
            <w:rFonts w:ascii="Times New Roman" w:hAnsi="Times New Roman" w:cs="Times New Roman"/>
            <w:sz w:val="24"/>
          </w:rPr>
        </w:pPr>
        <w:r w:rsidRPr="00017DA1">
          <w:rPr>
            <w:rFonts w:ascii="Times New Roman" w:hAnsi="Times New Roman" w:cs="Times New Roman"/>
            <w:sz w:val="24"/>
          </w:rPr>
          <w:fldChar w:fldCharType="begin"/>
        </w:r>
        <w:r w:rsidRPr="00017DA1">
          <w:rPr>
            <w:rFonts w:ascii="Times New Roman" w:hAnsi="Times New Roman" w:cs="Times New Roman"/>
            <w:sz w:val="24"/>
          </w:rPr>
          <w:instrText>PAGE   \* MERGEFORMAT</w:instrText>
        </w:r>
        <w:r w:rsidRPr="00017DA1">
          <w:rPr>
            <w:rFonts w:ascii="Times New Roman" w:hAnsi="Times New Roman" w:cs="Times New Roman"/>
            <w:sz w:val="24"/>
          </w:rPr>
          <w:fldChar w:fldCharType="separate"/>
        </w:r>
        <w:r w:rsidR="00DB104B">
          <w:rPr>
            <w:rFonts w:ascii="Times New Roman" w:hAnsi="Times New Roman" w:cs="Times New Roman"/>
            <w:noProof/>
            <w:sz w:val="24"/>
          </w:rPr>
          <w:t>12</w:t>
        </w:r>
        <w:r w:rsidRPr="00017DA1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405D4251" w14:textId="77777777" w:rsidR="00017DA1" w:rsidRDefault="00017D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109D8" w14:textId="77777777" w:rsidR="003F6546" w:rsidRDefault="003F6546" w:rsidP="00017DA1">
      <w:pPr>
        <w:spacing w:after="0" w:line="240" w:lineRule="auto"/>
      </w:pPr>
      <w:r>
        <w:separator/>
      </w:r>
    </w:p>
  </w:footnote>
  <w:footnote w:type="continuationSeparator" w:id="0">
    <w:p w14:paraId="04CA37D3" w14:textId="77777777" w:rsidR="003F6546" w:rsidRDefault="003F6546" w:rsidP="00017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12D4"/>
    <w:rsid w:val="0000282E"/>
    <w:rsid w:val="00017DA1"/>
    <w:rsid w:val="001A22B7"/>
    <w:rsid w:val="001A436A"/>
    <w:rsid w:val="003F6546"/>
    <w:rsid w:val="00470466"/>
    <w:rsid w:val="00686C9A"/>
    <w:rsid w:val="006A12D4"/>
    <w:rsid w:val="006F09FD"/>
    <w:rsid w:val="00800554"/>
    <w:rsid w:val="00964DFF"/>
    <w:rsid w:val="009F5C4F"/>
    <w:rsid w:val="00AE6886"/>
    <w:rsid w:val="00DB104B"/>
    <w:rsid w:val="00F93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96ED75"/>
  <w15:docId w15:val="{4F61F6DC-8FC9-4638-90CE-1218AC21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7DA1"/>
  </w:style>
  <w:style w:type="paragraph" w:styleId="a5">
    <w:name w:val="footer"/>
    <w:basedOn w:val="a"/>
    <w:link w:val="a6"/>
    <w:uiPriority w:val="99"/>
    <w:unhideWhenUsed/>
    <w:rsid w:val="00017D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1379</Words>
  <Characters>7866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</dc:creator>
  <cp:keywords/>
  <dc:description/>
  <cp:lastModifiedBy>Musafir</cp:lastModifiedBy>
  <cp:revision>15</cp:revision>
  <dcterms:created xsi:type="dcterms:W3CDTF">2014-03-01T19:18:00Z</dcterms:created>
  <dcterms:modified xsi:type="dcterms:W3CDTF">2026-02-08T13:29:00Z</dcterms:modified>
</cp:coreProperties>
</file>