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73C" w:rsidRPr="00CF773C" w:rsidRDefault="00CF773C" w:rsidP="00CF77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</w:rPr>
        <w:t xml:space="preserve">ЛЕКЦИЯ 4. </w:t>
      </w:r>
      <w:r w:rsidRPr="00CF773C">
        <w:rPr>
          <w:rFonts w:ascii="Times New Roman" w:eastAsia="Calibri" w:hAnsi="Times New Roman" w:cs="Times New Roman"/>
          <w:b/>
          <w:sz w:val="28"/>
          <w:szCs w:val="28"/>
        </w:rPr>
        <w:t>ПРОГНОЗИРОВАНИЕ И ПЛАНИРОВАНИЕ СОЦИАЛЬНО ЭКОНОМИЧЕСКОГО РАЗВИТИЯ</w:t>
      </w:r>
    </w:p>
    <w:bookmarkEnd w:id="0"/>
    <w:p w:rsidR="00CF773C" w:rsidRDefault="00CF773C" w:rsidP="00CF77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F773C" w:rsidRDefault="00CF773C" w:rsidP="00CF773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73C">
        <w:rPr>
          <w:rFonts w:ascii="Times New Roman" w:hAnsi="Times New Roman" w:cs="Times New Roman"/>
          <w:b/>
          <w:sz w:val="28"/>
          <w:szCs w:val="28"/>
        </w:rPr>
        <w:t>Условия и факторы социально-экономического развития муниципального образования</w:t>
      </w:r>
    </w:p>
    <w:p w:rsidR="00CF773C" w:rsidRPr="00CF773C" w:rsidRDefault="00CF773C" w:rsidP="00CF773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73C">
        <w:rPr>
          <w:rFonts w:ascii="Times New Roman" w:hAnsi="Times New Roman" w:cs="Times New Roman"/>
          <w:b/>
          <w:sz w:val="28"/>
          <w:szCs w:val="28"/>
        </w:rPr>
        <w:t xml:space="preserve"> Прогнозирование и планирование социально-экономического развития муниципального</w:t>
      </w:r>
    </w:p>
    <w:p w:rsidR="00CF773C" w:rsidRPr="00CF773C" w:rsidRDefault="00CF773C" w:rsidP="00CF773C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73C" w:rsidRPr="00CF773C" w:rsidRDefault="00CF773C" w:rsidP="00CF773C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773C" w:rsidRPr="00CF773C" w:rsidRDefault="00CF773C" w:rsidP="00CF773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b/>
          <w:sz w:val="28"/>
          <w:szCs w:val="28"/>
        </w:rPr>
        <w:t>Управление состоянием муниципального</w:t>
      </w:r>
      <w:r w:rsidRPr="00CF773C">
        <w:rPr>
          <w:rFonts w:ascii="Times New Roman" w:hAnsi="Times New Roman" w:cs="Times New Roman"/>
          <w:sz w:val="28"/>
          <w:szCs w:val="28"/>
        </w:rPr>
        <w:t xml:space="preserve"> образования позволяет поддерживать на достигнутом уровне все системы его жизнеобеспечения, объемы и качество муниципальных услуг. Управление развитием нацелено на повышение этого уровня исходя из генеральной цели муниципальной деятельности: повы</w:t>
      </w:r>
      <w:r w:rsidRPr="00CF773C">
        <w:rPr>
          <w:rFonts w:ascii="Times New Roman" w:hAnsi="Times New Roman" w:cs="Times New Roman"/>
          <w:sz w:val="28"/>
          <w:szCs w:val="28"/>
        </w:rPr>
        <w:t>шения качества жизни населения.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Управление состоянием и управление развитием – две взаимосвязанные сто</w:t>
      </w:r>
      <w:r>
        <w:rPr>
          <w:rFonts w:ascii="Times New Roman" w:hAnsi="Times New Roman" w:cs="Times New Roman"/>
          <w:sz w:val="28"/>
          <w:szCs w:val="28"/>
        </w:rPr>
        <w:t>роны муниципального управления.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Исходной базой для планирования комплексного социально-экономического развития муниципального образования является анализ существующей социально-экономической ситуации, включая внутреннюю и внешнюю среду. Анализ внутренней среды позволяет делать выводы об имеющихся ресурсах, возможностях, направлениях и перспективах социально-экономического развития муниципального образования. Анализ внешних условий развития, включая общую социально-экономическую ситуацию в государстве, состояние нормативно-правовой базы систему и подходы к управлению социально-экономическим развитием в стране и конкретном регионе, позволяет диагностировать и учитывать те проблемы, которые могут возникнуть при разработке и реализации планов и про грамм разви</w:t>
      </w:r>
      <w:r>
        <w:rPr>
          <w:rFonts w:ascii="Times New Roman" w:hAnsi="Times New Roman" w:cs="Times New Roman"/>
          <w:sz w:val="28"/>
          <w:szCs w:val="28"/>
        </w:rPr>
        <w:t>тия муниципального образования.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Планомерное развитие общества - одно из основных достижений человеческой цивилизации. В странах с развитой рыночной экономикой стратегическое планирование уже давно является действенным инструментом государственного регулирования экономи</w:t>
      </w:r>
      <w:r>
        <w:rPr>
          <w:rFonts w:ascii="Times New Roman" w:hAnsi="Times New Roman" w:cs="Times New Roman"/>
          <w:sz w:val="28"/>
          <w:szCs w:val="28"/>
        </w:rPr>
        <w:t>ческого и социального развития.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 xml:space="preserve">В основе социально-экономического развития СССР лежали государственные пятилетние планы, составной частью которых были планы развития макрорегионов (крупных экономических районов), отраслей народного хозяйства, территориально­-производственных комплексов, республик, краев и </w:t>
      </w:r>
      <w:proofErr w:type="gramStart"/>
      <w:r w:rsidRPr="00CF773C">
        <w:rPr>
          <w:rFonts w:ascii="Times New Roman" w:hAnsi="Times New Roman" w:cs="Times New Roman"/>
          <w:sz w:val="28"/>
          <w:szCs w:val="28"/>
        </w:rPr>
        <w:t>областей</w:t>
      </w:r>
      <w:proofErr w:type="gramEnd"/>
      <w:r w:rsidRPr="00CF773C">
        <w:rPr>
          <w:rFonts w:ascii="Times New Roman" w:hAnsi="Times New Roman" w:cs="Times New Roman"/>
          <w:sz w:val="28"/>
          <w:szCs w:val="28"/>
        </w:rPr>
        <w:t xml:space="preserve"> и отдельных локальных территорий (нынешних муниципальных оборудований). Эти планы были увязаны по срокам, объемам капитальных вложений, мощностям строительных организаций, поставкам оборудования и т. д. Основные мероприятия планов развития финансировались соответствующими министерствами и ведомствами. Для городов </w:t>
      </w:r>
      <w:r w:rsidRPr="00CF773C">
        <w:rPr>
          <w:rFonts w:ascii="Times New Roman" w:hAnsi="Times New Roman" w:cs="Times New Roman"/>
          <w:sz w:val="28"/>
          <w:szCs w:val="28"/>
        </w:rPr>
        <w:lastRenderedPageBreak/>
        <w:t>разрабатывались и утверждались генеральные планы развития на срок до 15-20 лет. Хотя они зачастую вели к неэффективному использованию ресурсов в угоду отраслевым интересам и практически никогда не выполнялись в полном объеме, они все же служили опре</w:t>
      </w:r>
      <w:r>
        <w:rPr>
          <w:rFonts w:ascii="Times New Roman" w:hAnsi="Times New Roman" w:cs="Times New Roman"/>
          <w:sz w:val="28"/>
          <w:szCs w:val="28"/>
        </w:rPr>
        <w:t>деленными ориентирами развития.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При переходе России к рыночной экономике и многообразию форм собственности прежняя система всеобщего директивного планирования социально-экономического развития страны и отдельных территорий была разрушена. В начале 90-х был выдвинут тезис о несовместимости рынка и плана. Однако вскоре стало очевидно, что необходима не отмена всякого планирования, а лишь переход от прежних методов директивного планирования к прогнозировани</w:t>
      </w:r>
      <w:r>
        <w:rPr>
          <w:rFonts w:ascii="Times New Roman" w:hAnsi="Times New Roman" w:cs="Times New Roman"/>
          <w:sz w:val="28"/>
          <w:szCs w:val="28"/>
        </w:rPr>
        <w:t>ю и индикативному планированию.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Управление социально-экономическим развитием России регулируется Федеральным законом «О государственном прогнозировании и программах социально-экономического развития Российской Федерации». В нем содержатся положения о необходимости проведения на федеральном и региональном уровнях работ прогнозно-аналитического характера, формирования концепций и программ развития, которые используются органами законодательной и исполнительной власти при принятии конкретных решений в области социально-экономической политики. Наиболее важные положения Закона могут и должны быть использованы при разработке прогнозов, концепций и программ комплексного социально-экономического ра</w:t>
      </w:r>
      <w:r>
        <w:rPr>
          <w:rFonts w:ascii="Times New Roman" w:hAnsi="Times New Roman" w:cs="Times New Roman"/>
          <w:sz w:val="28"/>
          <w:szCs w:val="28"/>
        </w:rPr>
        <w:t>звития на муниципальном уровне.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Необходимо обеспечить взаимосвязь взаимообусловленности развития страны, отдельных регионов и муниципальных образований. Особенно важна взаимосвязь задач регионального и муниципального развития, поскольку любой хозяйственный комплекс, являющийся объектом регионального планирования, дислоцируется на территории какого-то конкретного муниципального образования. Именно здесь протекают основные процессы социально-экономического развития. Полому принципы региональной политики государства и регионального планирования могут стать методологической базой для планирования социально-экономического разв</w:t>
      </w:r>
      <w:r>
        <w:rPr>
          <w:rFonts w:ascii="Times New Roman" w:hAnsi="Times New Roman" w:cs="Times New Roman"/>
          <w:sz w:val="28"/>
          <w:szCs w:val="28"/>
        </w:rPr>
        <w:t>ития муниципальных образований.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 xml:space="preserve">Региональное прогнозирование и планирование должно предусматривать эко логически обоснованное размещение производств, что напрямую затрагивает </w:t>
      </w:r>
      <w:proofErr w:type="gramStart"/>
      <w:r w:rsidRPr="00CF773C">
        <w:rPr>
          <w:rFonts w:ascii="Times New Roman" w:hAnsi="Times New Roman" w:cs="Times New Roman"/>
          <w:sz w:val="28"/>
          <w:szCs w:val="28"/>
        </w:rPr>
        <w:t>интересы</w:t>
      </w:r>
      <w:proofErr w:type="gramEnd"/>
      <w:r w:rsidRPr="00CF773C">
        <w:rPr>
          <w:rFonts w:ascii="Times New Roman" w:hAnsi="Times New Roman" w:cs="Times New Roman"/>
          <w:sz w:val="28"/>
          <w:szCs w:val="28"/>
        </w:rPr>
        <w:t xml:space="preserve"> муниципальных образований. Без разрешения противоречия между развитием производства и сохранением экологического равновесия говорить об устойчивом развитии муниципальных </w:t>
      </w:r>
      <w:r>
        <w:rPr>
          <w:rFonts w:ascii="Times New Roman" w:hAnsi="Times New Roman" w:cs="Times New Roman"/>
          <w:sz w:val="28"/>
          <w:szCs w:val="28"/>
        </w:rPr>
        <w:t>образований не приходится.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 xml:space="preserve">В качестве основных рекомендаций было предложено создание и развитие от­вечающей современным условиям комплексной системы социально-экономического планирования в стране. регионах и муниципальных образованиях, а также принятие федерального закона об организации разработки и реализации государственной региональной политики в </w:t>
      </w:r>
      <w:r w:rsidRPr="00CF773C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которая должна обеспечить взаимосвязь региональных приоритетов страны с разрабатываемыми на региональном и муниципальном уровнях концепциями, стра</w:t>
      </w:r>
      <w:r>
        <w:rPr>
          <w:rFonts w:ascii="Times New Roman" w:hAnsi="Times New Roman" w:cs="Times New Roman"/>
          <w:sz w:val="28"/>
          <w:szCs w:val="28"/>
        </w:rPr>
        <w:t>тегиями и программами развития.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Механизмом реализации задач социально-экономического развития всей страны и отдельных территорий являются целевые про граммы. По статусу целевые про граммы делятся на федеральные, межрегиональные</w:t>
      </w:r>
      <w:r>
        <w:rPr>
          <w:rFonts w:ascii="Times New Roman" w:hAnsi="Times New Roman" w:cs="Times New Roman"/>
          <w:sz w:val="28"/>
          <w:szCs w:val="28"/>
        </w:rPr>
        <w:t>, региональные и муниципальные.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По назначению различают комплексные целевые программы, обеспечивающие социально-экономическое развитие страны, региона или муниципального образования, и проблемные целевые программы, обеспечивающие решение одной определенной проблемы. Среди муниципальных п</w:t>
      </w:r>
      <w:r>
        <w:rPr>
          <w:rFonts w:ascii="Times New Roman" w:hAnsi="Times New Roman" w:cs="Times New Roman"/>
          <w:sz w:val="28"/>
          <w:szCs w:val="28"/>
        </w:rPr>
        <w:t>рограмм преобладают проблемные.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 xml:space="preserve">По срокам реализации различают краткосрочные (1 год), среднесрочные (35 лет) и долгосрочные (10-15 </w:t>
      </w:r>
      <w:r>
        <w:rPr>
          <w:rFonts w:ascii="Times New Roman" w:hAnsi="Times New Roman" w:cs="Times New Roman"/>
          <w:sz w:val="28"/>
          <w:szCs w:val="28"/>
        </w:rPr>
        <w:t>и более лет) целевые программы.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По направленности решаемых проблем различают социальные, экологические, экономические, научно-техниче</w:t>
      </w:r>
      <w:r>
        <w:rPr>
          <w:rFonts w:ascii="Times New Roman" w:hAnsi="Times New Roman" w:cs="Times New Roman"/>
          <w:sz w:val="28"/>
          <w:szCs w:val="28"/>
        </w:rPr>
        <w:t>ские и иные целевые про граммы.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По механизму реализации различают заказные целевые программы с заранее определенными исполнителями и конкурсные, когда исполнители выбираются комиссией после утверждения програм</w:t>
      </w:r>
      <w:r>
        <w:rPr>
          <w:rFonts w:ascii="Times New Roman" w:hAnsi="Times New Roman" w:cs="Times New Roman"/>
          <w:sz w:val="28"/>
          <w:szCs w:val="28"/>
        </w:rPr>
        <w:t>мы и объемов ее финансирования.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Муниципальные образования, на территории которых реализуются мероприятия федеральных и региональных целевых программ, могут получать соответствующие инвестиции из федерал</w:t>
      </w:r>
      <w:r>
        <w:rPr>
          <w:rFonts w:ascii="Times New Roman" w:hAnsi="Times New Roman" w:cs="Times New Roman"/>
          <w:sz w:val="28"/>
          <w:szCs w:val="28"/>
        </w:rPr>
        <w:t>ьного и регионального бюджетов.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В последние годы усиливается связь целевых программ с бюджетным процессом. Постановлением Правительства РФ от 22 мая 2004 года № 249 «мерах по повышению результативности бюджетных расходов была одобрена Концепция реформирования бюджетного процесса в Российской Федерации, одним из направлений которой является расширение сферы применения программно-целевых методов бюджетного планирования. Это предполагается осуществить, в частности, путем использования в бюджетном процесс ее ведомственных целевых программ, распределения части бюджетных средств на конкурсной основе по результатам оценки действующих и предлагаемы</w:t>
      </w:r>
      <w:r>
        <w:rPr>
          <w:rFonts w:ascii="Times New Roman" w:hAnsi="Times New Roman" w:cs="Times New Roman"/>
          <w:sz w:val="28"/>
          <w:szCs w:val="28"/>
        </w:rPr>
        <w:t>х к принятию целевых про грамм.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В Концепции предлагается замена «сметного принципа планирования бюджетных расходов на «программно-целевой» путем преобразования сметных расходов в так называемые «ведомственные целевые про граммы, имеющие четкие цели, измеримые результаты, систему оценки, индикаторы IIX достижения</w:t>
      </w:r>
      <w:proofErr w:type="gramStart"/>
      <w:r w:rsidRPr="00CF773C">
        <w:rPr>
          <w:rFonts w:ascii="Times New Roman" w:hAnsi="Times New Roman" w:cs="Times New Roman"/>
          <w:sz w:val="28"/>
          <w:szCs w:val="28"/>
        </w:rPr>
        <w:t>»..</w:t>
      </w:r>
      <w:proofErr w:type="gramEnd"/>
      <w:r w:rsidRPr="00CF773C">
        <w:rPr>
          <w:rFonts w:ascii="Times New Roman" w:hAnsi="Times New Roman" w:cs="Times New Roman"/>
          <w:sz w:val="28"/>
          <w:szCs w:val="28"/>
        </w:rPr>
        <w:t xml:space="preserve"> При этом указано, что действующие сегодня - централизованные (федеральные, региональные, муниципальные) и новые - ведомственные целевые программы должны рассматриваться в качестве двух </w:t>
      </w:r>
      <w:r w:rsidRPr="00CF773C">
        <w:rPr>
          <w:rFonts w:ascii="Times New Roman" w:hAnsi="Times New Roman" w:cs="Times New Roman"/>
          <w:sz w:val="28"/>
          <w:szCs w:val="28"/>
        </w:rPr>
        <w:lastRenderedPageBreak/>
        <w:t>типов единых по принципу формирования и реализации, но различающихся по содержанию и стат</w:t>
      </w:r>
      <w:r>
        <w:rPr>
          <w:rFonts w:ascii="Times New Roman" w:hAnsi="Times New Roman" w:cs="Times New Roman"/>
          <w:sz w:val="28"/>
          <w:szCs w:val="28"/>
        </w:rPr>
        <w:t>усу бюджетных целевых программ.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Основными различиями между централизованными и ведомственными</w:t>
      </w:r>
      <w:r>
        <w:rPr>
          <w:rFonts w:ascii="Times New Roman" w:hAnsi="Times New Roman" w:cs="Times New Roman"/>
          <w:sz w:val="28"/>
          <w:szCs w:val="28"/>
        </w:rPr>
        <w:t xml:space="preserve"> целевыми программами являются: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773C">
        <w:rPr>
          <w:rFonts w:ascii="Times New Roman" w:hAnsi="Times New Roman" w:cs="Times New Roman"/>
          <w:sz w:val="28"/>
          <w:szCs w:val="28"/>
        </w:rPr>
        <w:t>уровень</w:t>
      </w:r>
      <w:proofErr w:type="gramEnd"/>
      <w:r w:rsidRPr="00CF773C">
        <w:rPr>
          <w:rFonts w:ascii="Times New Roman" w:hAnsi="Times New Roman" w:cs="Times New Roman"/>
          <w:sz w:val="28"/>
          <w:szCs w:val="28"/>
        </w:rPr>
        <w:t xml:space="preserve"> утверждения (централизованные программы утверждаются высшим органом исполнительной власти соответствующего уровня, а ведомственные - соответствующими субъекта</w:t>
      </w:r>
      <w:r>
        <w:rPr>
          <w:rFonts w:ascii="Times New Roman" w:hAnsi="Times New Roman" w:cs="Times New Roman"/>
          <w:sz w:val="28"/>
          <w:szCs w:val="28"/>
        </w:rPr>
        <w:t>ми бюджетного планирования);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773C">
        <w:rPr>
          <w:rFonts w:ascii="Times New Roman" w:hAnsi="Times New Roman" w:cs="Times New Roman"/>
          <w:sz w:val="28"/>
          <w:szCs w:val="28"/>
        </w:rPr>
        <w:t>межотраслевой</w:t>
      </w:r>
      <w:proofErr w:type="gramEnd"/>
      <w:r w:rsidRPr="00CF773C">
        <w:rPr>
          <w:rFonts w:ascii="Times New Roman" w:hAnsi="Times New Roman" w:cs="Times New Roman"/>
          <w:sz w:val="28"/>
          <w:szCs w:val="28"/>
        </w:rPr>
        <w:t xml:space="preserve"> (централизованные программы) или внутриотраслевой (ве­домственные </w:t>
      </w:r>
      <w:r>
        <w:rPr>
          <w:rFonts w:ascii="Times New Roman" w:hAnsi="Times New Roman" w:cs="Times New Roman"/>
          <w:sz w:val="28"/>
          <w:szCs w:val="28"/>
        </w:rPr>
        <w:t>программы) характер и значение;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773C">
        <w:rPr>
          <w:rFonts w:ascii="Times New Roman" w:hAnsi="Times New Roman" w:cs="Times New Roman"/>
          <w:sz w:val="28"/>
          <w:szCs w:val="28"/>
        </w:rPr>
        <w:t>содержание</w:t>
      </w:r>
      <w:proofErr w:type="gramEnd"/>
      <w:r w:rsidRPr="00CF773C">
        <w:rPr>
          <w:rFonts w:ascii="Times New Roman" w:hAnsi="Times New Roman" w:cs="Times New Roman"/>
          <w:sz w:val="28"/>
          <w:szCs w:val="28"/>
        </w:rPr>
        <w:t xml:space="preserve"> программных мероприятий (централизованные программы, как правило, включают крупные по объему работ, срокам и финансированию мероприятия, ведомственные предусматривают реализацию менее крупных мероприятий или программное объединение расходов на предостав</w:t>
      </w:r>
      <w:r>
        <w:rPr>
          <w:rFonts w:ascii="Times New Roman" w:hAnsi="Times New Roman" w:cs="Times New Roman"/>
          <w:sz w:val="28"/>
          <w:szCs w:val="28"/>
        </w:rPr>
        <w:t>ление определенного вида слуг);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773C">
        <w:rPr>
          <w:rFonts w:ascii="Times New Roman" w:hAnsi="Times New Roman" w:cs="Times New Roman"/>
          <w:sz w:val="28"/>
          <w:szCs w:val="28"/>
        </w:rPr>
        <w:t>источник</w:t>
      </w:r>
      <w:proofErr w:type="gramEnd"/>
      <w:r w:rsidRPr="00CF773C">
        <w:rPr>
          <w:rFonts w:ascii="Times New Roman" w:hAnsi="Times New Roman" w:cs="Times New Roman"/>
          <w:sz w:val="28"/>
          <w:szCs w:val="28"/>
        </w:rPr>
        <w:t xml:space="preserve"> финансирования (централизованные программы финансируются непосредственно из бюджетов, а ведомственные - за счет средств, выделенных бюджетами конкретным субъ</w:t>
      </w:r>
      <w:r>
        <w:rPr>
          <w:rFonts w:ascii="Times New Roman" w:hAnsi="Times New Roman" w:cs="Times New Roman"/>
          <w:sz w:val="28"/>
          <w:szCs w:val="28"/>
        </w:rPr>
        <w:t>ектам бюджетного планирования).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Таким образом; централизованные целевые программы являются инструментом экономической политики, а ведомственные - инструментом бюджетного управления (планирования, отчета, анализа) органов исполнительной в</w:t>
      </w:r>
      <w:r>
        <w:rPr>
          <w:rFonts w:ascii="Times New Roman" w:hAnsi="Times New Roman" w:cs="Times New Roman"/>
          <w:sz w:val="28"/>
          <w:szCs w:val="28"/>
        </w:rPr>
        <w:t>ласти соответствующего ·уровня.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 xml:space="preserve">Реализация Концепции на местном уровне будет иметь ряд особенностей, отражающих специфику конкретных территорий. Тем самым создаются предпосылки не только для создания системы муниципальных целевых про </w:t>
      </w:r>
      <w:proofErr w:type="gramStart"/>
      <w:r w:rsidRPr="00CF773C">
        <w:rPr>
          <w:rFonts w:ascii="Times New Roman" w:hAnsi="Times New Roman" w:cs="Times New Roman"/>
          <w:sz w:val="28"/>
          <w:szCs w:val="28"/>
        </w:rPr>
        <w:t>грамм</w:t>
      </w:r>
      <w:proofErr w:type="gramEnd"/>
      <w:r w:rsidRPr="00CF773C">
        <w:rPr>
          <w:rFonts w:ascii="Times New Roman" w:hAnsi="Times New Roman" w:cs="Times New Roman"/>
          <w:sz w:val="28"/>
          <w:szCs w:val="28"/>
        </w:rPr>
        <w:t xml:space="preserve"> но повышения результативности расходов местных бюджетов, но и для выхода с отдельными муниципальными мероприятиями на региональный и федеральный уровни с целью включения их в соответствующие централизованные и ведомственные це</w:t>
      </w:r>
      <w:r>
        <w:rPr>
          <w:rFonts w:ascii="Times New Roman" w:hAnsi="Times New Roman" w:cs="Times New Roman"/>
          <w:sz w:val="28"/>
          <w:szCs w:val="28"/>
        </w:rPr>
        <w:t>левые программы и подпрограммы.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Полномочия местного самоуправления в сфере социально-эко</w:t>
      </w:r>
      <w:r>
        <w:rPr>
          <w:rFonts w:ascii="Times New Roman" w:hAnsi="Times New Roman" w:cs="Times New Roman"/>
          <w:sz w:val="28"/>
          <w:szCs w:val="28"/>
        </w:rPr>
        <w:t>номического развития территорий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Федеральный закон 2003 года N2 131-ФЗ относит к полномочиям органов местного самоуправления принятие и организацию выполнения планов и про грамм комплексного, социально-экономического развития муниципального образования. К вопросам местного значения муниципальных образований различных типов закон относит разработку и утверждение генеральных планов развитии поселений и схем территориального планирования муниципальных районов, установление правил землепользования и застройки, территориальное зонирование земель, контроль использования земель, экологический контроль и другие действия органов местного самоуправления, необходимые для реализации планов и про грамм комплексного соц</w:t>
      </w:r>
      <w:r>
        <w:rPr>
          <w:rFonts w:ascii="Times New Roman" w:hAnsi="Times New Roman" w:cs="Times New Roman"/>
          <w:sz w:val="28"/>
          <w:szCs w:val="28"/>
        </w:rPr>
        <w:t>иально-экономического развития.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lastRenderedPageBreak/>
        <w:t>Базовым документом для разработки программ социально-экономического развития муниципальных образований является Указ Президента РФ «Об Основных положениях региональной политики в Российской Федерации» (1996 год). В этом документе указано, что основной задачей органов местного самоуправления в сфере социально-экономического развития является обеспечение комплексного решения вопросов обслуживания населения и достижение тем самым политической и социальной стабильности в регионе посредством взаимосогласованных действий органов государственной власти субъектов РФ и органов ме­стного самоуправления. Отмечено, что только действительно самостоятельные, независимые в организационном, финансовом, правовом отношении органы местного самоуправления способны успешно осуществлять региональную политику, учи</w:t>
      </w:r>
      <w:r>
        <w:rPr>
          <w:rFonts w:ascii="Times New Roman" w:hAnsi="Times New Roman" w:cs="Times New Roman"/>
          <w:sz w:val="28"/>
          <w:szCs w:val="28"/>
        </w:rPr>
        <w:t>тывающую потребности населения.</w:t>
      </w:r>
    </w:p>
    <w:p w:rsidR="00960783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Особую роль в социально-экономическом развитии государства и регионов играет стимулирование развития городов, располагающих крупным экономическим и научно- техническим потенциалом и могущих стать «локомотивами» и «точками роста» экономики соответствующих субъектов РФ.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73C">
        <w:rPr>
          <w:rFonts w:ascii="Times New Roman" w:hAnsi="Times New Roman" w:cs="Times New Roman"/>
          <w:b/>
          <w:sz w:val="28"/>
          <w:szCs w:val="28"/>
        </w:rPr>
        <w:t>2. Прогнозирование и планирование социально-экономического развития муниципального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Анализ социально-экономического положения муниципального образования является необходимой предпосылкой принятия органами местного самоуправления различных управленческих решений, в том числе и в сфере комплексного социально-экономического развития территории. Он проводится путем сопоставления фактических показателей анализируемого периода с плановыми и с фактическими показ</w:t>
      </w:r>
      <w:r>
        <w:rPr>
          <w:rFonts w:ascii="Times New Roman" w:hAnsi="Times New Roman" w:cs="Times New Roman"/>
          <w:sz w:val="28"/>
          <w:szCs w:val="28"/>
        </w:rPr>
        <w:t>ателями за предшествующие годы.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Целью этого анализа является установление причин и факторов отклонения фактических пользователей от плановых и от показателей предшествующих лет, выявление позитивных тенденций, которые необходимо развивать, и негативных, которым необходимо противостоять, определение узких мест и диспропорций в развитии отдельных сфер муниципальной деятельн</w:t>
      </w:r>
      <w:r>
        <w:rPr>
          <w:rFonts w:ascii="Times New Roman" w:hAnsi="Times New Roman" w:cs="Times New Roman"/>
          <w:sz w:val="28"/>
          <w:szCs w:val="28"/>
        </w:rPr>
        <w:t>ости, выявление резервов роста.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 xml:space="preserve">По завершении анализа возможно сравнение отдельных показателей с показателями соседних муниципальных образований, </w:t>
      </w:r>
      <w:proofErr w:type="spellStart"/>
      <w:r w:rsidRPr="00CF773C">
        <w:rPr>
          <w:rFonts w:ascii="Times New Roman" w:hAnsi="Times New Roman" w:cs="Times New Roman"/>
          <w:sz w:val="28"/>
          <w:szCs w:val="28"/>
        </w:rPr>
        <w:t>cxодныx</w:t>
      </w:r>
      <w:proofErr w:type="spellEnd"/>
      <w:r w:rsidRPr="00CF773C">
        <w:rPr>
          <w:rFonts w:ascii="Times New Roman" w:hAnsi="Times New Roman" w:cs="Times New Roman"/>
          <w:sz w:val="28"/>
          <w:szCs w:val="28"/>
        </w:rPr>
        <w:t xml:space="preserve"> по специализации и типу хозяйства, с показателями по субъекту РФ, федеральному округу и стране в целом, а также с нормативными значениями. Затем дается оценка ранее принятым мерам по улучшению социально-экономического положения муниципального образования. Здесь рассматриваются используемые формы и методы управления, действующие нормативные право вые акты различных уровней, регулирующие процессы социально-экономического развития, а также определяется эффективность </w:t>
      </w:r>
      <w:r w:rsidRPr="00CF773C">
        <w:rPr>
          <w:rFonts w:ascii="Times New Roman" w:hAnsi="Times New Roman" w:cs="Times New Roman"/>
          <w:sz w:val="28"/>
          <w:szCs w:val="28"/>
        </w:rPr>
        <w:lastRenderedPageBreak/>
        <w:t>реализуемых мер на основе оценки динамики социально-­экономических показателей. Оценивается также воздействие на социально-экономическое развитие муниципального образования реформ, осуществляемых на федеральном, региональн</w:t>
      </w:r>
      <w:r>
        <w:rPr>
          <w:rFonts w:ascii="Times New Roman" w:hAnsi="Times New Roman" w:cs="Times New Roman"/>
          <w:sz w:val="28"/>
          <w:szCs w:val="28"/>
        </w:rPr>
        <w:t>ом и муниципальных уровнях.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Анализ показателей для каждой сферы муниципальной деятельности осуществляют соответствующие отраслевые подра</w:t>
      </w:r>
      <w:r>
        <w:rPr>
          <w:rFonts w:ascii="Times New Roman" w:hAnsi="Times New Roman" w:cs="Times New Roman"/>
          <w:sz w:val="28"/>
          <w:szCs w:val="28"/>
        </w:rPr>
        <w:t>зделения местных администраций.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Экономическая служба администрации проводит сводный анализ социально­-экономического положения территории. Его качество в значительной мере предопределяет обоснованность прогнозов и планов социально-экономического разви</w:t>
      </w:r>
      <w:r>
        <w:rPr>
          <w:rFonts w:ascii="Times New Roman" w:hAnsi="Times New Roman" w:cs="Times New Roman"/>
          <w:sz w:val="28"/>
          <w:szCs w:val="28"/>
        </w:rPr>
        <w:t>тия муниципального образования.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Основными исходными данными для анализа социально-экономического положения заявленной экономической политики органов местного самоуправления. Такой прогноз ежегодно корректируется со сдвигом планового периода на год вперед. При разработке финансового плана учитываются дефляторы, характеризующие изменение ценовых факторов п</w:t>
      </w:r>
      <w:r>
        <w:rPr>
          <w:rFonts w:ascii="Times New Roman" w:hAnsi="Times New Roman" w:cs="Times New Roman"/>
          <w:sz w:val="28"/>
          <w:szCs w:val="28"/>
        </w:rPr>
        <w:t>о сравнению с предыдущим годом.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 xml:space="preserve">Для муниципального хозяйства в целом и </w:t>
      </w:r>
      <w:proofErr w:type="gramStart"/>
      <w:r w:rsidRPr="00CF773C">
        <w:rPr>
          <w:rFonts w:ascii="Times New Roman" w:hAnsi="Times New Roman" w:cs="Times New Roman"/>
          <w:sz w:val="28"/>
          <w:szCs w:val="28"/>
        </w:rPr>
        <w:t>отдельных муниципальных предприятий</w:t>
      </w:r>
      <w:proofErr w:type="gramEnd"/>
      <w:r w:rsidRPr="00CF773C">
        <w:rPr>
          <w:rFonts w:ascii="Times New Roman" w:hAnsi="Times New Roman" w:cs="Times New Roman"/>
          <w:sz w:val="28"/>
          <w:szCs w:val="28"/>
        </w:rPr>
        <w:t xml:space="preserve"> и учреждений может быть разработан директивный план, обязательный для исполнения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Разработка прогноза комплексного социально-экономического развития осу­ществляется по тем же группам показателей, которые использовались при анализе социально-экономического положения. В прогнозе важно сформулировать основные цели и задачи муниципального образования на планируемый период и пути их достижения. Далее они конкретизируются по нап</w:t>
      </w:r>
      <w:r>
        <w:rPr>
          <w:rFonts w:ascii="Times New Roman" w:hAnsi="Times New Roman" w:cs="Times New Roman"/>
          <w:sz w:val="28"/>
          <w:szCs w:val="28"/>
        </w:rPr>
        <w:t>равлениям (целевым программам).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 xml:space="preserve">Для большинства муниципальных образований, особенно с моно отраслевым </w:t>
      </w:r>
      <w:proofErr w:type="spellStart"/>
      <w:r w:rsidRPr="00CF773C">
        <w:rPr>
          <w:rFonts w:ascii="Times New Roman" w:hAnsi="Times New Roman" w:cs="Times New Roman"/>
          <w:sz w:val="28"/>
          <w:szCs w:val="28"/>
        </w:rPr>
        <w:t>хapaктером</w:t>
      </w:r>
      <w:proofErr w:type="spellEnd"/>
      <w:r w:rsidRPr="00CF773C">
        <w:rPr>
          <w:rFonts w:ascii="Times New Roman" w:hAnsi="Times New Roman" w:cs="Times New Roman"/>
          <w:sz w:val="28"/>
          <w:szCs w:val="28"/>
        </w:rPr>
        <w:t xml:space="preserve"> экономики, в основу прогноза должны быть положены прогнозы и планы развития градообразующих предприятий. Именно они определяют налоговый контингент местного бюджета, занятость населения, участие предприятии в комплексном социально- экономическом развитии территории и содержании отдельных отраслей муниципального хозяйства и социально и сферы. Прогнозные показатели развития градообразующих предприятий и формы их участия в развитии территории должны быть предметом совместного детального рассмотрения и согласования между администрацией муниципального образования и руководителями предприятий. Сложнее прогнозировать показатели развития малых и средних предприятий, когда основой принятия решений служат разрозненные данные пред</w:t>
      </w:r>
      <w:r>
        <w:rPr>
          <w:rFonts w:ascii="Times New Roman" w:hAnsi="Times New Roman" w:cs="Times New Roman"/>
          <w:sz w:val="28"/>
          <w:szCs w:val="28"/>
        </w:rPr>
        <w:t>ыдущих лет и экспертные оценки.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Текущее и среднесрочное</w:t>
      </w:r>
      <w:r>
        <w:rPr>
          <w:rFonts w:ascii="Times New Roman" w:hAnsi="Times New Roman" w:cs="Times New Roman"/>
          <w:sz w:val="28"/>
          <w:szCs w:val="28"/>
        </w:rPr>
        <w:t xml:space="preserve"> планирование и прогнозирование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 xml:space="preserve">Текущее планирование и прогнозирование в муниципальном образовании осуществляется на очередной год с разбивкой по кварталам и (как уже </w:t>
      </w:r>
      <w:r w:rsidRPr="00CF773C">
        <w:rPr>
          <w:rFonts w:ascii="Times New Roman" w:hAnsi="Times New Roman" w:cs="Times New Roman"/>
          <w:sz w:val="28"/>
          <w:szCs w:val="28"/>
        </w:rPr>
        <w:lastRenderedPageBreak/>
        <w:t>отмечалось) с прогнозом на 2 последующих года. Такой подход позволяет планировать и осуществлять программные мероприятия срок реализации, которых превышает 1 год. На основании прогноза социально-­экономического развития территории и вытекающих из него бюджетных проектировок администрация разрабатывает комплексный годовой план социально-экономического развития территории. В нем устанавливаются конкретные задачи и показатели для всех сфер муниципальной деятельности: жилищно-коммунального хозяйства, транспорта, связи, охраны об общественного порядка, здравоохранения, социальной поддержки отдельных слоев населения, образования, культуры, спорта, молодежной политики и т. Д. Поскольку сумма отраслевых заявок всегда превышает возможности бюджета, необходимо организовать компетентное рассмотрение всех предложений, обеспечить их отбор в соответствии с муниципального образования являются данные, получаемые от органов государственной статистики и других органов государственной власти. На безвозмездной основе осуществляется обмен информацией между органами местного самоуправления исполнительной власти субъектов РФ, налоговыми, территориальными органами Федерального казначейства и др. Органы местного самоуправления могут также получать отдельные интересующие их данные непосредственно от хозяйствующих субъектов</w:t>
      </w:r>
      <w:proofErr w:type="gramStart"/>
      <w:r w:rsidRPr="00CF773C">
        <w:rPr>
          <w:rFonts w:ascii="Times New Roman" w:hAnsi="Times New Roman" w:cs="Times New Roman"/>
          <w:sz w:val="28"/>
          <w:szCs w:val="28"/>
        </w:rPr>
        <w:t>. расположенных</w:t>
      </w:r>
      <w:proofErr w:type="gramEnd"/>
      <w:r w:rsidRPr="00CF773C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(с их согласия). При анализе социально-экономической ситуации в муниципальном образовании должны учитываться мнение населения (в частности, проводиться анализ жалоб и обращений граждан), оценки общественных объединений и т. д. При использовании такой информации важно оценивать урове</w:t>
      </w:r>
      <w:r>
        <w:rPr>
          <w:rFonts w:ascii="Times New Roman" w:hAnsi="Times New Roman" w:cs="Times New Roman"/>
          <w:sz w:val="28"/>
          <w:szCs w:val="28"/>
        </w:rPr>
        <w:t>нь ее достоверности.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Экологические нормы и нормативы могут служить основанием для принятия управленческих решений по исправлению слож</w:t>
      </w:r>
      <w:r>
        <w:rPr>
          <w:rFonts w:ascii="Times New Roman" w:hAnsi="Times New Roman" w:cs="Times New Roman"/>
          <w:sz w:val="28"/>
          <w:szCs w:val="28"/>
        </w:rPr>
        <w:t>ившейся экологической ситуации.</w:t>
      </w:r>
    </w:p>
    <w:p w:rsidR="00CF773C" w:rsidRPr="00CF773C" w:rsidRDefault="00CF773C" w:rsidP="00CF77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73C">
        <w:rPr>
          <w:rFonts w:ascii="Times New Roman" w:hAnsi="Times New Roman" w:cs="Times New Roman"/>
          <w:sz w:val="28"/>
          <w:szCs w:val="28"/>
        </w:rPr>
        <w:t>Анализ социально-экономического положения муниципального образования завершается формулированием основных проблем, требующих решения. Выявление основных проблем создает объективную основу для системного построения структуры целей и задач комплексного социально-экономического развития.</w:t>
      </w:r>
    </w:p>
    <w:sectPr w:rsidR="00CF773C" w:rsidRPr="00CF7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9C07F4"/>
    <w:multiLevelType w:val="hybridMultilevel"/>
    <w:tmpl w:val="B2669E36"/>
    <w:lvl w:ilvl="0" w:tplc="1B18DD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64B6C"/>
    <w:multiLevelType w:val="hybridMultilevel"/>
    <w:tmpl w:val="8A208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326"/>
    <w:rsid w:val="00960783"/>
    <w:rsid w:val="00CF773C"/>
    <w:rsid w:val="00FA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E9FE2-B425-4E63-B434-0EE53A5E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2580</Words>
  <Characters>14709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2026-02-11T09:49:00Z</dcterms:created>
  <dcterms:modified xsi:type="dcterms:W3CDTF">2026-02-11T09:49:00Z</dcterms:modified>
</cp:coreProperties>
</file>