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A052C2" w14:textId="77777777" w:rsidR="001F71F6" w:rsidRPr="007D5C06" w:rsidRDefault="001F71F6" w:rsidP="001F71F6">
      <w:pPr>
        <w:pStyle w:val="Default"/>
        <w:jc w:val="both"/>
        <w:rPr>
          <w:sz w:val="20"/>
          <w:szCs w:val="20"/>
        </w:rPr>
      </w:pPr>
      <w:r w:rsidRPr="007D5C06">
        <w:rPr>
          <w:b/>
          <w:bCs/>
          <w:sz w:val="20"/>
          <w:szCs w:val="20"/>
        </w:rPr>
        <w:t xml:space="preserve">Психологические характеристики социальных ситуаций взросления: </w:t>
      </w:r>
    </w:p>
    <w:p w14:paraId="1E0D24AB" w14:textId="77777777" w:rsidR="001F71F6" w:rsidRPr="001F71F6" w:rsidRDefault="001F71F6" w:rsidP="001F71F6">
      <w:pPr>
        <w:pStyle w:val="Default"/>
        <w:jc w:val="both"/>
        <w:rPr>
          <w:sz w:val="20"/>
          <w:szCs w:val="20"/>
        </w:rPr>
      </w:pPr>
      <w:r w:rsidRPr="001F71F6">
        <w:rPr>
          <w:sz w:val="20"/>
          <w:szCs w:val="20"/>
        </w:rPr>
        <w:t>Основные вопросы</w:t>
      </w:r>
    </w:p>
    <w:p w14:paraId="7A783290" w14:textId="493F5783" w:rsidR="001F71F6" w:rsidRPr="001F71F6" w:rsidRDefault="001F71F6" w:rsidP="001F71F6">
      <w:pPr>
        <w:pStyle w:val="Default"/>
        <w:jc w:val="both"/>
        <w:rPr>
          <w:sz w:val="20"/>
          <w:szCs w:val="20"/>
        </w:rPr>
      </w:pPr>
      <w:r w:rsidRPr="001F71F6">
        <w:rPr>
          <w:sz w:val="20"/>
          <w:szCs w:val="20"/>
        </w:rPr>
        <w:t xml:space="preserve">Психологические характеристики социальных ситуаций взросления: </w:t>
      </w:r>
    </w:p>
    <w:p w14:paraId="7DE3008C" w14:textId="7944730F" w:rsidR="00060C2B" w:rsidRDefault="001F71F6" w:rsidP="001F71F6">
      <w:pPr>
        <w:rPr>
          <w:rFonts w:ascii="Times New Roman" w:hAnsi="Times New Roman"/>
          <w:sz w:val="20"/>
          <w:szCs w:val="20"/>
        </w:rPr>
      </w:pPr>
      <w:r w:rsidRPr="001F71F6">
        <w:rPr>
          <w:rFonts w:ascii="Times New Roman" w:hAnsi="Times New Roman"/>
          <w:sz w:val="20"/>
          <w:szCs w:val="20"/>
        </w:rPr>
        <w:t xml:space="preserve">потенциальности, </w:t>
      </w:r>
      <w:proofErr w:type="spellStart"/>
      <w:r w:rsidRPr="001F71F6">
        <w:rPr>
          <w:rFonts w:ascii="Times New Roman" w:hAnsi="Times New Roman"/>
          <w:sz w:val="20"/>
          <w:szCs w:val="20"/>
        </w:rPr>
        <w:t>интенциальности</w:t>
      </w:r>
      <w:proofErr w:type="spellEnd"/>
      <w:r w:rsidRPr="001F71F6">
        <w:rPr>
          <w:rFonts w:ascii="Times New Roman" w:hAnsi="Times New Roman"/>
          <w:sz w:val="20"/>
          <w:szCs w:val="20"/>
        </w:rPr>
        <w:t xml:space="preserve">, </w:t>
      </w:r>
      <w:proofErr w:type="spellStart"/>
      <w:r w:rsidRPr="001F71F6">
        <w:rPr>
          <w:rFonts w:ascii="Times New Roman" w:hAnsi="Times New Roman"/>
          <w:sz w:val="20"/>
          <w:szCs w:val="20"/>
        </w:rPr>
        <w:t>онтологичности</w:t>
      </w:r>
      <w:proofErr w:type="spellEnd"/>
      <w:r w:rsidRPr="007D5C06">
        <w:rPr>
          <w:rFonts w:ascii="Times New Roman" w:hAnsi="Times New Roman"/>
          <w:sz w:val="20"/>
          <w:szCs w:val="20"/>
        </w:rPr>
        <w:t xml:space="preserve">, </w:t>
      </w:r>
      <w:proofErr w:type="spellStart"/>
      <w:r w:rsidRPr="007D5C06">
        <w:rPr>
          <w:rFonts w:ascii="Times New Roman" w:hAnsi="Times New Roman"/>
          <w:sz w:val="20"/>
          <w:szCs w:val="20"/>
        </w:rPr>
        <w:t>неструктурированности</w:t>
      </w:r>
      <w:proofErr w:type="spellEnd"/>
      <w:r w:rsidRPr="007D5C06">
        <w:rPr>
          <w:rFonts w:ascii="Times New Roman" w:hAnsi="Times New Roman"/>
          <w:sz w:val="20"/>
          <w:szCs w:val="20"/>
        </w:rPr>
        <w:t>. Подростковая субкультура и герменевтика пространства взросления.</w:t>
      </w:r>
    </w:p>
    <w:p w14:paraId="1C902EBE"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Социальные ситуации взросления содержат </w:t>
      </w:r>
      <w:hyperlink r:id="rId5"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1F71F6">
          <w:rPr>
            <w:rFonts w:ascii="Times New Roman" w:eastAsia="Times New Roman" w:hAnsi="Times New Roman"/>
            <w:color w:val="0000FF"/>
            <w:sz w:val="24"/>
            <w:szCs w:val="24"/>
            <w:u w:val="single"/>
            <w:lang w:eastAsia="ru-RU"/>
          </w:rPr>
          <w:t>психологические</w:t>
        </w:r>
      </w:hyperlink>
      <w:r w:rsidRPr="001F71F6">
        <w:rPr>
          <w:rFonts w:ascii="Times New Roman" w:eastAsia="Times New Roman" w:hAnsi="Times New Roman"/>
          <w:sz w:val="24"/>
          <w:szCs w:val="24"/>
          <w:lang w:eastAsia="ru-RU"/>
        </w:rPr>
        <w:t xml:space="preserve"> характеристики потенциальности, </w:t>
      </w:r>
      <w:proofErr w:type="spellStart"/>
      <w:r w:rsidRPr="001F71F6">
        <w:rPr>
          <w:rFonts w:ascii="Times New Roman" w:eastAsia="Times New Roman" w:hAnsi="Times New Roman"/>
          <w:sz w:val="24"/>
          <w:szCs w:val="24"/>
          <w:lang w:eastAsia="ru-RU"/>
        </w:rPr>
        <w:t>интенциальности</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онтологичности</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неструктурированности</w:t>
      </w:r>
      <w:proofErr w:type="spellEnd"/>
      <w:r w:rsidRPr="001F71F6">
        <w:rPr>
          <w:rFonts w:ascii="Times New Roman" w:eastAsia="Times New Roman" w:hAnsi="Times New Roman"/>
          <w:sz w:val="24"/>
          <w:szCs w:val="24"/>
          <w:lang w:eastAsia="ru-RU"/>
        </w:rPr>
        <w:t>.</w:t>
      </w:r>
    </w:p>
    <w:p w14:paraId="625DF1EF"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Признак потенциальности как многообразия возможностей, определяющих вероятностные линии развития субъекта взросления связан с проектированием </w:t>
      </w:r>
      <w:r w:rsidRPr="001F71F6">
        <w:rPr>
          <w:rFonts w:ascii="Times New Roman" w:eastAsia="Times New Roman" w:hAnsi="Times New Roman"/>
          <w:i/>
          <w:iCs/>
          <w:sz w:val="24"/>
          <w:szCs w:val="24"/>
          <w:lang w:eastAsia="ru-RU"/>
        </w:rPr>
        <w:t>Встречи</w:t>
      </w:r>
      <w:r w:rsidRPr="001F71F6">
        <w:rPr>
          <w:rFonts w:ascii="Times New Roman" w:eastAsia="Times New Roman" w:hAnsi="Times New Roman"/>
          <w:sz w:val="24"/>
          <w:szCs w:val="24"/>
          <w:lang w:eastAsia="ru-RU"/>
        </w:rPr>
        <w:t xml:space="preserve"> как пространственно-временной единицы взросления. </w:t>
      </w:r>
      <w:r w:rsidRPr="001F71F6">
        <w:rPr>
          <w:rFonts w:ascii="Times New Roman" w:eastAsia="Times New Roman" w:hAnsi="Times New Roman"/>
          <w:i/>
          <w:iCs/>
          <w:sz w:val="24"/>
          <w:szCs w:val="24"/>
          <w:lang w:eastAsia="ru-RU"/>
        </w:rPr>
        <w:t>Встреча,</w:t>
      </w:r>
      <w:r w:rsidRPr="001F71F6">
        <w:rPr>
          <w:rFonts w:ascii="Times New Roman" w:eastAsia="Times New Roman" w:hAnsi="Times New Roman"/>
          <w:sz w:val="24"/>
          <w:szCs w:val="24"/>
          <w:lang w:eastAsia="ru-RU"/>
        </w:rPr>
        <w:t xml:space="preserve"> произошедшая в определенный момент взросления, определяет его качественные характеристики.</w:t>
      </w:r>
    </w:p>
    <w:p w14:paraId="49173F88"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Признак </w:t>
      </w:r>
      <w:proofErr w:type="spellStart"/>
      <w:r w:rsidRPr="001F71F6">
        <w:rPr>
          <w:rFonts w:ascii="Times New Roman" w:eastAsia="Times New Roman" w:hAnsi="Times New Roman"/>
          <w:sz w:val="24"/>
          <w:szCs w:val="24"/>
          <w:lang w:eastAsia="ru-RU"/>
        </w:rPr>
        <w:t>интенциальности</w:t>
      </w:r>
      <w:proofErr w:type="spellEnd"/>
      <w:r w:rsidRPr="001F71F6">
        <w:rPr>
          <w:rFonts w:ascii="Times New Roman" w:eastAsia="Times New Roman" w:hAnsi="Times New Roman"/>
          <w:sz w:val="24"/>
          <w:szCs w:val="24"/>
          <w:lang w:eastAsia="ru-RU"/>
        </w:rPr>
        <w:t xml:space="preserve">, раскрывающий знаковый характер обстоятельств социальной ситуации, связан с </w:t>
      </w:r>
      <w:r w:rsidRPr="001F71F6">
        <w:rPr>
          <w:rFonts w:ascii="Times New Roman" w:eastAsia="Times New Roman" w:hAnsi="Times New Roman"/>
          <w:i/>
          <w:iCs/>
          <w:sz w:val="24"/>
          <w:szCs w:val="24"/>
          <w:lang w:eastAsia="ru-RU"/>
        </w:rPr>
        <w:t>Диалогом</w:t>
      </w:r>
      <w:r w:rsidRPr="001F71F6">
        <w:rPr>
          <w:rFonts w:ascii="Times New Roman" w:eastAsia="Times New Roman" w:hAnsi="Times New Roman"/>
          <w:sz w:val="24"/>
          <w:szCs w:val="24"/>
          <w:lang w:eastAsia="ru-RU"/>
        </w:rPr>
        <w:t xml:space="preserve"> как дискурсивной единицей взросления. </w:t>
      </w:r>
      <w:r w:rsidRPr="001F71F6">
        <w:rPr>
          <w:rFonts w:ascii="Times New Roman" w:eastAsia="Times New Roman" w:hAnsi="Times New Roman"/>
          <w:i/>
          <w:iCs/>
          <w:sz w:val="24"/>
          <w:szCs w:val="24"/>
          <w:lang w:eastAsia="ru-RU"/>
        </w:rPr>
        <w:t>Диалог</w:t>
      </w:r>
      <w:r w:rsidRPr="001F71F6">
        <w:rPr>
          <w:rFonts w:ascii="Times New Roman" w:eastAsia="Times New Roman" w:hAnsi="Times New Roman"/>
          <w:sz w:val="24"/>
          <w:szCs w:val="24"/>
          <w:lang w:eastAsia="ru-RU"/>
        </w:rPr>
        <w:t xml:space="preserve"> Взрослого с подростком: педагога с воспитанником поддерживает фокус именно на данных обстоятельствах и смыслах взросления, а не на каких-либо других.</w:t>
      </w:r>
    </w:p>
    <w:p w14:paraId="1BED18DA"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Признак </w:t>
      </w:r>
      <w:proofErr w:type="spellStart"/>
      <w:r w:rsidRPr="001F71F6">
        <w:rPr>
          <w:rFonts w:ascii="Times New Roman" w:eastAsia="Times New Roman" w:hAnsi="Times New Roman"/>
          <w:sz w:val="24"/>
          <w:szCs w:val="24"/>
          <w:lang w:eastAsia="ru-RU"/>
        </w:rPr>
        <w:t>онтологичности</w:t>
      </w:r>
      <w:proofErr w:type="spellEnd"/>
      <w:r w:rsidRPr="001F71F6">
        <w:rPr>
          <w:rFonts w:ascii="Times New Roman" w:eastAsia="Times New Roman" w:hAnsi="Times New Roman"/>
          <w:sz w:val="24"/>
          <w:szCs w:val="24"/>
          <w:lang w:eastAsia="ru-RU"/>
        </w:rPr>
        <w:t xml:space="preserve">, раскрывающий необратимый характер выбора, принятия в каждый момент времени в фокус взросления того или иного обстоятельства жизни связан с </w:t>
      </w:r>
      <w:r w:rsidRPr="001F71F6">
        <w:rPr>
          <w:rFonts w:ascii="Times New Roman" w:eastAsia="Times New Roman" w:hAnsi="Times New Roman"/>
          <w:i/>
          <w:iCs/>
          <w:sz w:val="24"/>
          <w:szCs w:val="24"/>
          <w:lang w:eastAsia="ru-RU"/>
        </w:rPr>
        <w:t>Пробой</w:t>
      </w:r>
      <w:r w:rsidRPr="001F71F6">
        <w:rPr>
          <w:rFonts w:ascii="Times New Roman" w:eastAsia="Times New Roman" w:hAnsi="Times New Roman"/>
          <w:sz w:val="24"/>
          <w:szCs w:val="24"/>
          <w:lang w:eastAsia="ru-RU"/>
        </w:rPr>
        <w:t xml:space="preserve"> как деятельностной единицей взросления. </w:t>
      </w:r>
      <w:r w:rsidRPr="001F71F6">
        <w:rPr>
          <w:rFonts w:ascii="Times New Roman" w:eastAsia="Times New Roman" w:hAnsi="Times New Roman"/>
          <w:i/>
          <w:iCs/>
          <w:sz w:val="24"/>
          <w:szCs w:val="24"/>
          <w:lang w:eastAsia="ru-RU"/>
        </w:rPr>
        <w:t>Проба</w:t>
      </w:r>
      <w:r w:rsidRPr="001F71F6">
        <w:rPr>
          <w:rFonts w:ascii="Times New Roman" w:eastAsia="Times New Roman" w:hAnsi="Times New Roman"/>
          <w:sz w:val="24"/>
          <w:szCs w:val="24"/>
          <w:lang w:eastAsia="ru-RU"/>
        </w:rPr>
        <w:t xml:space="preserve"> определяет онтологический опыт взросления.</w:t>
      </w:r>
    </w:p>
    <w:p w14:paraId="71DF31DE"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Признак </w:t>
      </w:r>
      <w:proofErr w:type="spellStart"/>
      <w:r w:rsidRPr="001F71F6">
        <w:rPr>
          <w:rFonts w:ascii="Times New Roman" w:eastAsia="Times New Roman" w:hAnsi="Times New Roman"/>
          <w:sz w:val="24"/>
          <w:szCs w:val="24"/>
          <w:lang w:eastAsia="ru-RU"/>
        </w:rPr>
        <w:t>неструктурированности</w:t>
      </w:r>
      <w:proofErr w:type="spellEnd"/>
      <w:r w:rsidRPr="001F71F6">
        <w:rPr>
          <w:rFonts w:ascii="Times New Roman" w:eastAsia="Times New Roman" w:hAnsi="Times New Roman"/>
          <w:sz w:val="24"/>
          <w:szCs w:val="24"/>
          <w:lang w:eastAsia="ru-RU"/>
        </w:rPr>
        <w:t xml:space="preserve">, обозначающий неотчетливый характер, который имеют обстоятельства социальной ситуации взросления связан с </w:t>
      </w:r>
      <w:proofErr w:type="spellStart"/>
      <w:r w:rsidRPr="001F71F6">
        <w:rPr>
          <w:rFonts w:ascii="Times New Roman" w:eastAsia="Times New Roman" w:hAnsi="Times New Roman"/>
          <w:sz w:val="24"/>
          <w:szCs w:val="24"/>
          <w:lang w:eastAsia="ru-RU"/>
        </w:rPr>
        <w:t>нерядоположенностью</w:t>
      </w:r>
      <w:proofErr w:type="spellEnd"/>
      <w:r w:rsidRPr="001F71F6">
        <w:rPr>
          <w:rFonts w:ascii="Times New Roman" w:eastAsia="Times New Roman" w:hAnsi="Times New Roman"/>
          <w:sz w:val="24"/>
          <w:szCs w:val="24"/>
          <w:lang w:eastAsia="ru-RU"/>
        </w:rPr>
        <w:t xml:space="preserve"> </w:t>
      </w:r>
      <w:r w:rsidRPr="001F71F6">
        <w:rPr>
          <w:rFonts w:ascii="Times New Roman" w:eastAsia="Times New Roman" w:hAnsi="Times New Roman"/>
          <w:i/>
          <w:iCs/>
          <w:sz w:val="24"/>
          <w:szCs w:val="24"/>
          <w:lang w:eastAsia="ru-RU"/>
        </w:rPr>
        <w:t>Встречи, Диалога, Пробы,</w:t>
      </w:r>
      <w:r w:rsidRPr="001F71F6">
        <w:rPr>
          <w:rFonts w:ascii="Times New Roman" w:eastAsia="Times New Roman" w:hAnsi="Times New Roman"/>
          <w:sz w:val="24"/>
          <w:szCs w:val="24"/>
          <w:lang w:eastAsia="ru-RU"/>
        </w:rPr>
        <w:t xml:space="preserve"> их нелинейной детерминированностью (в момент их проживания, в настоящем, может быть не проявлена их значимость как причины будущих следствий взрослой жизни).</w:t>
      </w:r>
    </w:p>
    <w:p w14:paraId="1A890737"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Поэтому воспитательные практики можно рассматривать как нелинейные педагогически организованные возможности реализации взрослости подростком в системе «подросток-общество».</w:t>
      </w:r>
    </w:p>
    <w:p w14:paraId="15E67C4F"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Осуществляя </w:t>
      </w:r>
      <w:hyperlink r:id="rId6"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1F71F6">
          <w:rPr>
            <w:rFonts w:ascii="Times New Roman" w:eastAsia="Times New Roman" w:hAnsi="Times New Roman"/>
            <w:color w:val="0000FF"/>
            <w:sz w:val="24"/>
            <w:szCs w:val="24"/>
            <w:u w:val="single"/>
            <w:lang w:eastAsia="ru-RU"/>
          </w:rPr>
          <w:t>психологический</w:t>
        </w:r>
      </w:hyperlink>
      <w:r w:rsidRPr="001F71F6">
        <w:rPr>
          <w:rFonts w:ascii="Times New Roman" w:eastAsia="Times New Roman" w:hAnsi="Times New Roman"/>
          <w:sz w:val="24"/>
          <w:szCs w:val="24"/>
          <w:lang w:eastAsia="ru-RU"/>
        </w:rPr>
        <w:t xml:space="preserve"> анализ социальных ситуаций взросления, необходимо обращаться к следующим принципам, которые придают концепции психологии и педагогики взросления определенную методологическую устойчивость.</w:t>
      </w:r>
    </w:p>
    <w:p w14:paraId="463BA66F"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Социогенетический принцип (культурный </w:t>
      </w:r>
      <w:proofErr w:type="spellStart"/>
      <w:r w:rsidRPr="001F71F6">
        <w:rPr>
          <w:rFonts w:ascii="Times New Roman" w:eastAsia="Times New Roman" w:hAnsi="Times New Roman"/>
          <w:sz w:val="24"/>
          <w:szCs w:val="24"/>
          <w:lang w:eastAsia="ru-RU"/>
        </w:rPr>
        <w:t>социогенез</w:t>
      </w:r>
      <w:proofErr w:type="spellEnd"/>
      <w:r w:rsidRPr="001F71F6">
        <w:rPr>
          <w:rFonts w:ascii="Times New Roman" w:eastAsia="Times New Roman" w:hAnsi="Times New Roman"/>
          <w:sz w:val="24"/>
          <w:szCs w:val="24"/>
          <w:lang w:eastAsia="ru-RU"/>
        </w:rPr>
        <w:t xml:space="preserve"> детства и воспитание как форма культурогенеза), системно-синергетический принцип (целостное развитие подростка, нелинейная организация взросления, институциональное влияние воспитания на взросление подростка), событийный принцип (</w:t>
      </w:r>
      <w:proofErr w:type="spellStart"/>
      <w:r w:rsidRPr="001F71F6">
        <w:rPr>
          <w:rFonts w:ascii="Times New Roman" w:eastAsia="Times New Roman" w:hAnsi="Times New Roman"/>
          <w:sz w:val="24"/>
          <w:szCs w:val="24"/>
          <w:lang w:eastAsia="ru-RU"/>
        </w:rPr>
        <w:t>гетерохронный</w:t>
      </w:r>
      <w:proofErr w:type="spellEnd"/>
      <w:r w:rsidRPr="001F71F6">
        <w:rPr>
          <w:rFonts w:ascii="Times New Roman" w:eastAsia="Times New Roman" w:hAnsi="Times New Roman"/>
          <w:sz w:val="24"/>
          <w:szCs w:val="24"/>
          <w:lang w:eastAsia="ru-RU"/>
        </w:rPr>
        <w:t xml:space="preserve"> характер взросления, континуальность и дискретность </w:t>
      </w:r>
      <w:hyperlink r:id="rId7"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1F71F6">
          <w:rPr>
            <w:rFonts w:ascii="Times New Roman" w:eastAsia="Times New Roman" w:hAnsi="Times New Roman"/>
            <w:color w:val="0000FF"/>
            <w:sz w:val="24"/>
            <w:szCs w:val="24"/>
            <w:u w:val="single"/>
            <w:lang w:eastAsia="ru-RU"/>
          </w:rPr>
          <w:t>психологического</w:t>
        </w:r>
      </w:hyperlink>
      <w:r w:rsidRPr="001F71F6">
        <w:rPr>
          <w:rFonts w:ascii="Times New Roman" w:eastAsia="Times New Roman" w:hAnsi="Times New Roman"/>
          <w:sz w:val="24"/>
          <w:szCs w:val="24"/>
          <w:lang w:eastAsia="ru-RU"/>
        </w:rPr>
        <w:t xml:space="preserve"> времени взросления, событийность воспитания). Названные принципы позволяют «разоблачить» в воспитательных реалиях проблемы взросления подростков: </w:t>
      </w:r>
      <w:proofErr w:type="spellStart"/>
      <w:r w:rsidRPr="001F71F6">
        <w:rPr>
          <w:rFonts w:ascii="Times New Roman" w:eastAsia="Times New Roman" w:hAnsi="Times New Roman"/>
          <w:sz w:val="24"/>
          <w:szCs w:val="24"/>
          <w:lang w:eastAsia="ru-RU"/>
        </w:rPr>
        <w:t>мифологичность</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асубкультурность</w:t>
      </w:r>
      <w:proofErr w:type="spellEnd"/>
      <w:r w:rsidRPr="001F71F6">
        <w:rPr>
          <w:rFonts w:ascii="Times New Roman" w:eastAsia="Times New Roman" w:hAnsi="Times New Roman"/>
          <w:sz w:val="24"/>
          <w:szCs w:val="24"/>
          <w:lang w:eastAsia="ru-RU"/>
        </w:rPr>
        <w:t xml:space="preserve">, стратификацию, </w:t>
      </w:r>
      <w:proofErr w:type="spellStart"/>
      <w:r w:rsidRPr="001F71F6">
        <w:rPr>
          <w:rFonts w:ascii="Times New Roman" w:eastAsia="Times New Roman" w:hAnsi="Times New Roman"/>
          <w:sz w:val="24"/>
          <w:szCs w:val="24"/>
          <w:lang w:eastAsia="ru-RU"/>
        </w:rPr>
        <w:t>аномичность</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псевдодеятельность</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нерефлексивность</w:t>
      </w:r>
      <w:proofErr w:type="spellEnd"/>
      <w:r w:rsidRPr="001F71F6">
        <w:rPr>
          <w:rFonts w:ascii="Times New Roman" w:eastAsia="Times New Roman" w:hAnsi="Times New Roman"/>
          <w:sz w:val="24"/>
          <w:szCs w:val="24"/>
          <w:lang w:eastAsia="ru-RU"/>
        </w:rPr>
        <w:t>.</w:t>
      </w:r>
    </w:p>
    <w:p w14:paraId="796CD1F4"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Вот один из примеров «развертывания» </w:t>
      </w:r>
      <w:proofErr w:type="spellStart"/>
      <w:r w:rsidRPr="001F71F6">
        <w:rPr>
          <w:rFonts w:ascii="Times New Roman" w:eastAsia="Times New Roman" w:hAnsi="Times New Roman"/>
          <w:sz w:val="24"/>
          <w:szCs w:val="24"/>
          <w:lang w:eastAsia="ru-RU"/>
        </w:rPr>
        <w:t>интенциальности</w:t>
      </w:r>
      <w:proofErr w:type="spellEnd"/>
      <w:r w:rsidRPr="001F71F6">
        <w:rPr>
          <w:rFonts w:ascii="Times New Roman" w:eastAsia="Times New Roman" w:hAnsi="Times New Roman"/>
          <w:sz w:val="24"/>
          <w:szCs w:val="24"/>
          <w:lang w:eastAsia="ru-RU"/>
        </w:rPr>
        <w:t xml:space="preserve">, потенциальности, </w:t>
      </w:r>
      <w:proofErr w:type="spellStart"/>
      <w:r w:rsidRPr="001F71F6">
        <w:rPr>
          <w:rFonts w:ascii="Times New Roman" w:eastAsia="Times New Roman" w:hAnsi="Times New Roman"/>
          <w:sz w:val="24"/>
          <w:szCs w:val="24"/>
          <w:lang w:eastAsia="ru-RU"/>
        </w:rPr>
        <w:t>онтологичности</w:t>
      </w:r>
      <w:proofErr w:type="spellEnd"/>
      <w:r w:rsidRPr="001F71F6">
        <w:rPr>
          <w:rFonts w:ascii="Times New Roman" w:eastAsia="Times New Roman" w:hAnsi="Times New Roman"/>
          <w:sz w:val="24"/>
          <w:szCs w:val="24"/>
          <w:lang w:eastAsia="ru-RU"/>
        </w:rPr>
        <w:t xml:space="preserve">, </w:t>
      </w:r>
      <w:proofErr w:type="spellStart"/>
      <w:r w:rsidRPr="001F71F6">
        <w:rPr>
          <w:rFonts w:ascii="Times New Roman" w:eastAsia="Times New Roman" w:hAnsi="Times New Roman"/>
          <w:sz w:val="24"/>
          <w:szCs w:val="24"/>
          <w:lang w:eastAsia="ru-RU"/>
        </w:rPr>
        <w:t>неструктурированности</w:t>
      </w:r>
      <w:proofErr w:type="spellEnd"/>
      <w:r w:rsidRPr="001F71F6">
        <w:rPr>
          <w:rFonts w:ascii="Times New Roman" w:eastAsia="Times New Roman" w:hAnsi="Times New Roman"/>
          <w:sz w:val="24"/>
          <w:szCs w:val="24"/>
          <w:lang w:eastAsia="ru-RU"/>
        </w:rPr>
        <w:t xml:space="preserve"> в ситуациях взросления.</w:t>
      </w:r>
    </w:p>
    <w:p w14:paraId="5EBF717A"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Рассказ школьного психолога:</w:t>
      </w:r>
    </w:p>
    <w:p w14:paraId="71714EA0"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lastRenderedPageBreak/>
        <w:t>Среди школ проводился очередной КВН, тематика — безопасность дорожного движения. Подросткам-школьникам было дано домашнее задание: подготовить в интересной форме «зарисовку» по проблеме безопасности движения. Была сформирована инициативная группа подростков, выбран капитан команды. Было решено поставить ПДД-дорожный балет. К делу подошли с юмором: была выбрана классическая музыка, подготовлен реквизит (вместо балетных пачек — коробки на талии с изображением машин), в качестве либретто — текст сатирика Григория Горина о смешном происшествии на дороге, все участники КВН отрабатывали балетные па. Может быть, сказалось пресыщение репетициями, но как-то внезапно (в отсутствие взрослого, совместно с которым готовилось выступление) ребята изменили решение (идея изменения принадлежала капитану команды). Вместо балета он придумал провести игру с залом «</w:t>
      </w:r>
      <w:proofErr w:type="spellStart"/>
      <w:r w:rsidRPr="001F71F6">
        <w:rPr>
          <w:rFonts w:ascii="Times New Roman" w:eastAsia="Times New Roman" w:hAnsi="Times New Roman"/>
          <w:sz w:val="24"/>
          <w:szCs w:val="24"/>
          <w:lang w:eastAsia="ru-RU"/>
        </w:rPr>
        <w:t>Сфетофор</w:t>
      </w:r>
      <w:proofErr w:type="spellEnd"/>
      <w:r w:rsidRPr="001F71F6">
        <w:rPr>
          <w:rFonts w:ascii="Times New Roman" w:eastAsia="Times New Roman" w:hAnsi="Times New Roman"/>
          <w:sz w:val="24"/>
          <w:szCs w:val="24"/>
          <w:lang w:eastAsia="ru-RU"/>
        </w:rPr>
        <w:t xml:space="preserve">». Задумка заключалась в том, что капитан команды выходил на сцену в одежде трех цветов (красная бейсболка, желтый пиджак, зеленые брюки, красный галстук, желтая футболка, зеленые шорты), под музыку группа поддержки поднимала плакаты («стой», «подожди», «давай иди»), зал должен был кричать написанные слова, а капитан после криков снимать по порядку с себя вещи, сопровождая это зажигательными движениями. Попытки переубедить ребят, обозначить последствия задуманного были тщетны. Дальнейшие споры обозначали конфликтность ситуации. </w:t>
      </w:r>
      <w:r w:rsidRPr="001F71F6">
        <w:rPr>
          <w:rFonts w:ascii="Times New Roman" w:eastAsia="Times New Roman" w:hAnsi="Times New Roman"/>
          <w:i/>
          <w:iCs/>
          <w:sz w:val="24"/>
          <w:szCs w:val="24"/>
          <w:lang w:eastAsia="ru-RU"/>
        </w:rPr>
        <w:t>Проба собственной «взрослости»</w:t>
      </w:r>
      <w:r w:rsidRPr="001F71F6">
        <w:rPr>
          <w:rFonts w:ascii="Times New Roman" w:eastAsia="Times New Roman" w:hAnsi="Times New Roman"/>
          <w:sz w:val="24"/>
          <w:szCs w:val="24"/>
          <w:lang w:eastAsia="ru-RU"/>
        </w:rPr>
        <w:t xml:space="preserve"> подросткам была остро необходима. Они так самонадеянно верили в успех, предполагали, что сорвут аплодисменты зала и высокие баллы жюри. Долгожданный день настал, показ номера состоялся, </w:t>
      </w:r>
      <w:proofErr w:type="gramStart"/>
      <w:r w:rsidRPr="001F71F6">
        <w:rPr>
          <w:rFonts w:ascii="Times New Roman" w:eastAsia="Times New Roman" w:hAnsi="Times New Roman"/>
          <w:sz w:val="24"/>
          <w:szCs w:val="24"/>
          <w:lang w:eastAsia="ru-RU"/>
        </w:rPr>
        <w:t>и</w:t>
      </w:r>
      <w:proofErr w:type="gramEnd"/>
      <w:r w:rsidRPr="001F71F6">
        <w:rPr>
          <w:rFonts w:ascii="Times New Roman" w:eastAsia="Times New Roman" w:hAnsi="Times New Roman"/>
          <w:sz w:val="24"/>
          <w:szCs w:val="24"/>
          <w:lang w:eastAsia="ru-RU"/>
        </w:rPr>
        <w:t xml:space="preserve"> хотя аплодисменты были (но не настолько бурные), оценки жюри были самые низкие. Сидя в зале, мы уже продумывали варианты разговора с ребятами, как вдруг на сцене развернулось следующее. Был объявлен конкурс капитанов, капитаны должны были ответить на вопросы друг друга. Юноша из другой школы, обращаясь к нашему капитану, задал вопрос: «Как ты думаешь, может быть, на плакатах во время твоего выступления сначала стоило написать “давай” (имея в виду подтекст твоего раздевания на сцене) и только потом “иди”»? Румянец залил щеки капитана, он не ответил на этот вопрос ничего. Конкурс капитанов был проигран. В поисках «крайнего» команда обрушилась на капитана. Капитан был на том этапе развертывания событийности, когда Другой — это внутреннее слово (можно сказать, что он переживал встречу с собой в истине своего существования «здесь-и-теперь»). Высказывания капитана строились не по законам каких-то универсальных знаний, значений (как это получалось у педагога), а исходили из состояния его актуальной экзистенции: «Я сначала не понимал, что у нашего “прикола” могут быть такие смыслы. Я думал, просто повеселимся. Когда парень задал мне вопрос, я не </w:t>
      </w:r>
      <w:proofErr w:type="gramStart"/>
      <w:r w:rsidRPr="001F71F6">
        <w:rPr>
          <w:rFonts w:ascii="Times New Roman" w:eastAsia="Times New Roman" w:hAnsi="Times New Roman"/>
          <w:sz w:val="24"/>
          <w:szCs w:val="24"/>
          <w:lang w:eastAsia="ru-RU"/>
        </w:rPr>
        <w:t>то</w:t>
      </w:r>
      <w:proofErr w:type="gramEnd"/>
      <w:r w:rsidRPr="001F71F6">
        <w:rPr>
          <w:rFonts w:ascii="Times New Roman" w:eastAsia="Times New Roman" w:hAnsi="Times New Roman"/>
          <w:sz w:val="24"/>
          <w:szCs w:val="24"/>
          <w:lang w:eastAsia="ru-RU"/>
        </w:rPr>
        <w:t xml:space="preserve"> что бы не мог совсем на него ответить… То, что я хотел ответить, не соответствовало ситуации — “вот я крутой герой, а скажу, что думаю про себя, обозначусь как крутой дурак”».</w:t>
      </w:r>
    </w:p>
    <w:p w14:paraId="22E25340" w14:textId="77777777" w:rsidR="001F71F6" w:rsidRPr="001F71F6" w:rsidRDefault="001F71F6" w:rsidP="001F71F6">
      <w:pPr>
        <w:spacing w:after="0" w:line="240" w:lineRule="auto"/>
        <w:rPr>
          <w:rFonts w:ascii="Times New Roman" w:eastAsia="Times New Roman" w:hAnsi="Times New Roman"/>
          <w:sz w:val="24"/>
          <w:szCs w:val="24"/>
          <w:lang w:eastAsia="ru-RU"/>
        </w:rPr>
      </w:pPr>
    </w:p>
    <w:p w14:paraId="5FA0934B"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 xml:space="preserve">Неструктурированная коммуникация в группе развернула вектор от направленности на другого к направленности на себя. </w:t>
      </w:r>
      <w:r w:rsidRPr="001F71F6">
        <w:rPr>
          <w:rFonts w:ascii="Times New Roman" w:eastAsia="Times New Roman" w:hAnsi="Times New Roman"/>
          <w:i/>
          <w:iCs/>
          <w:sz w:val="24"/>
          <w:szCs w:val="24"/>
          <w:lang w:eastAsia="ru-RU"/>
        </w:rPr>
        <w:t>В этом событийном пространстве потенциально важно было создать условия для рождения новых индивидуальных смысловых структур, а не заслонять новый личностный опыт подростка текстом педагогических интерпретаций.</w:t>
      </w:r>
      <w:r w:rsidRPr="001F71F6">
        <w:rPr>
          <w:rFonts w:ascii="Times New Roman" w:eastAsia="Times New Roman" w:hAnsi="Times New Roman"/>
          <w:sz w:val="24"/>
          <w:szCs w:val="24"/>
          <w:lang w:eastAsia="ru-RU"/>
        </w:rPr>
        <w:t xml:space="preserve"> Извлечением смысла человек конституирует в потенциальности своего сознания некоторую структуру, следование которой обеспечивает воспроизводство этого смысла. </w:t>
      </w:r>
      <w:r w:rsidRPr="001F71F6">
        <w:rPr>
          <w:rFonts w:ascii="Times New Roman" w:eastAsia="Times New Roman" w:hAnsi="Times New Roman"/>
          <w:i/>
          <w:iCs/>
          <w:sz w:val="24"/>
          <w:szCs w:val="24"/>
          <w:lang w:eastAsia="ru-RU"/>
        </w:rPr>
        <w:t>Смысловое оформление опыта дает взрослению опору в предметной реальности.</w:t>
      </w:r>
      <w:r w:rsidRPr="001F71F6">
        <w:rPr>
          <w:rFonts w:ascii="Times New Roman" w:eastAsia="Times New Roman" w:hAnsi="Times New Roman"/>
          <w:sz w:val="24"/>
          <w:szCs w:val="24"/>
          <w:lang w:eastAsia="ru-RU"/>
        </w:rPr>
        <w:t xml:space="preserve"> Если же опыт произошел, а смысл его не извлечен, то состояние человека будет бесплодно повторяться до дурной бесконечности. Отсюда мы заключаем, что важная функция </w:t>
      </w:r>
      <w:r w:rsidRPr="001F71F6">
        <w:rPr>
          <w:rFonts w:ascii="Times New Roman" w:eastAsia="Times New Roman" w:hAnsi="Times New Roman"/>
          <w:i/>
          <w:iCs/>
          <w:sz w:val="24"/>
          <w:szCs w:val="24"/>
          <w:lang w:eastAsia="ru-RU"/>
        </w:rPr>
        <w:t>педагогического сопровождения событий детской жизни — функция извлекания смыслов из происходящих событий.</w:t>
      </w:r>
      <w:r w:rsidRPr="001F71F6">
        <w:rPr>
          <w:rFonts w:ascii="Times New Roman" w:eastAsia="Times New Roman" w:hAnsi="Times New Roman"/>
          <w:sz w:val="24"/>
          <w:szCs w:val="24"/>
          <w:lang w:eastAsia="ru-RU"/>
        </w:rPr>
        <w:t xml:space="preserve"> Тогда условие событийности деятельности и отношений значимо для взросления.</w:t>
      </w:r>
    </w:p>
    <w:p w14:paraId="2E3F844E"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lastRenderedPageBreak/>
        <w:t xml:space="preserve">Воспитание </w:t>
      </w:r>
      <w:r w:rsidRPr="001F71F6">
        <w:rPr>
          <w:rFonts w:ascii="Times New Roman" w:eastAsia="Times New Roman" w:hAnsi="Times New Roman"/>
          <w:i/>
          <w:iCs/>
          <w:sz w:val="24"/>
          <w:szCs w:val="24"/>
          <w:lang w:eastAsia="ru-RU"/>
        </w:rPr>
        <w:t xml:space="preserve">должно предоставлять подросткам пространство пробы, но с последующим </w:t>
      </w:r>
      <w:proofErr w:type="spellStart"/>
      <w:r w:rsidRPr="001F71F6">
        <w:rPr>
          <w:rFonts w:ascii="Times New Roman" w:eastAsia="Times New Roman" w:hAnsi="Times New Roman"/>
          <w:i/>
          <w:iCs/>
          <w:sz w:val="24"/>
          <w:szCs w:val="24"/>
          <w:lang w:eastAsia="ru-RU"/>
        </w:rPr>
        <w:t>смыслоизвлечением</w:t>
      </w:r>
      <w:proofErr w:type="spellEnd"/>
      <w:r w:rsidRPr="001F71F6">
        <w:rPr>
          <w:rFonts w:ascii="Times New Roman" w:eastAsia="Times New Roman" w:hAnsi="Times New Roman"/>
          <w:sz w:val="24"/>
          <w:szCs w:val="24"/>
          <w:lang w:eastAsia="ru-RU"/>
        </w:rPr>
        <w:t xml:space="preserve">. Смысл </w:t>
      </w:r>
      <w:proofErr w:type="spellStart"/>
      <w:r w:rsidRPr="001F71F6">
        <w:rPr>
          <w:rFonts w:ascii="Times New Roman" w:eastAsia="Times New Roman" w:hAnsi="Times New Roman"/>
          <w:sz w:val="24"/>
          <w:szCs w:val="24"/>
          <w:lang w:eastAsia="ru-RU"/>
        </w:rPr>
        <w:t>амплифицирует</w:t>
      </w:r>
      <w:proofErr w:type="spellEnd"/>
      <w:r w:rsidRPr="001F71F6">
        <w:rPr>
          <w:rFonts w:ascii="Times New Roman" w:eastAsia="Times New Roman" w:hAnsi="Times New Roman"/>
          <w:sz w:val="24"/>
          <w:szCs w:val="24"/>
          <w:lang w:eastAsia="ru-RU"/>
        </w:rPr>
        <w:t xml:space="preserve"> опыт подростка, актуализирует взросление. Подросток преодолевает избыток собственной индивидуальности, но, преодолевая, создает новый избыток по отношению к ней (обнуление степеней свободы есть смерть). Упражнение свободы есть преодоление себя, по сути — преодоление «несотворенной свободы» (Н.А. Бердяев) и достижение собственной сотворенной свободы.</w:t>
      </w:r>
    </w:p>
    <w:p w14:paraId="55C378EE" w14:textId="77777777" w:rsidR="001F71F6" w:rsidRPr="001F71F6" w:rsidRDefault="001F71F6" w:rsidP="001F71F6">
      <w:pPr>
        <w:spacing w:before="100" w:beforeAutospacing="1" w:after="100" w:afterAutospacing="1" w:line="240" w:lineRule="auto"/>
        <w:rPr>
          <w:rFonts w:ascii="Times New Roman" w:eastAsia="Times New Roman" w:hAnsi="Times New Roman"/>
          <w:sz w:val="24"/>
          <w:szCs w:val="24"/>
          <w:lang w:eastAsia="ru-RU"/>
        </w:rPr>
      </w:pPr>
      <w:r w:rsidRPr="001F71F6">
        <w:rPr>
          <w:rFonts w:ascii="Times New Roman" w:eastAsia="Times New Roman" w:hAnsi="Times New Roman"/>
          <w:sz w:val="24"/>
          <w:szCs w:val="24"/>
          <w:lang w:eastAsia="ru-RU"/>
        </w:rPr>
        <w:t>Понимание признаков социальных ситуаций взросления, принципов конструирования воспитательных практик в пространстве взросления и анализ психосоциальных проблем воспроизводства взрослости в воспитании создает прочную герменевтическую основу взаимодействия мира Детства и мира Взрослости, существования подростковой субкультуры в культуре общества.</w:t>
      </w:r>
    </w:p>
    <w:p w14:paraId="30BEED58" w14:textId="77777777" w:rsidR="009B365A" w:rsidRPr="009B365A" w:rsidRDefault="009B365A" w:rsidP="009B365A">
      <w:pPr>
        <w:spacing w:after="0" w:line="240" w:lineRule="auto"/>
        <w:rPr>
          <w:rFonts w:ascii="Times New Roman" w:eastAsia="Times New Roman" w:hAnsi="Times New Roman"/>
          <w:sz w:val="24"/>
          <w:szCs w:val="24"/>
          <w:lang w:eastAsia="ru-RU"/>
        </w:rPr>
      </w:pPr>
      <w:bookmarkStart w:id="0" w:name="_Hlk128051993"/>
      <w:r w:rsidRPr="009B365A">
        <w:rPr>
          <w:rFonts w:ascii="Times New Roman" w:eastAsia="Times New Roman" w:hAnsi="Times New Roman"/>
          <w:sz w:val="24"/>
          <w:szCs w:val="24"/>
          <w:lang w:eastAsia="ru-RU"/>
        </w:rPr>
        <w:t>Литература:</w:t>
      </w:r>
    </w:p>
    <w:p w14:paraId="27A40E34" w14:textId="77777777" w:rsidR="009B365A" w:rsidRPr="009B365A" w:rsidRDefault="009B365A" w:rsidP="009B365A">
      <w:pPr>
        <w:numPr>
          <w:ilvl w:val="0"/>
          <w:numId w:val="1"/>
        </w:numPr>
        <w:spacing w:after="0" w:line="240" w:lineRule="auto"/>
        <w:contextualSpacing/>
        <w:rPr>
          <w:rFonts w:ascii="Times New Roman" w:eastAsia="Times New Roman" w:hAnsi="Times New Roman"/>
          <w:sz w:val="24"/>
          <w:szCs w:val="24"/>
          <w:lang w:eastAsia="ru-RU"/>
        </w:rPr>
      </w:pPr>
      <w:r w:rsidRPr="009B365A">
        <w:rPr>
          <w:rFonts w:ascii="Times New Roman" w:eastAsiaTheme="minorHAnsi" w:hAnsi="Times New Roman"/>
          <w:sz w:val="24"/>
          <w:szCs w:val="24"/>
          <w:lang w:val="x-none" w:eastAsia="x-none"/>
        </w:rPr>
        <w:t xml:space="preserve">Савенков, А. И.  Педагогическая психология в 2 ч. Часть 2 : учебник для вузов / А. И. Савенков. — 3-е изд., </w:t>
      </w:r>
      <w:proofErr w:type="spellStart"/>
      <w:r w:rsidRPr="009B365A">
        <w:rPr>
          <w:rFonts w:ascii="Times New Roman" w:eastAsiaTheme="minorHAnsi" w:hAnsi="Times New Roman"/>
          <w:sz w:val="24"/>
          <w:szCs w:val="24"/>
          <w:lang w:val="x-none" w:eastAsia="x-none"/>
        </w:rPr>
        <w:t>перераб</w:t>
      </w:r>
      <w:proofErr w:type="spellEnd"/>
      <w:r w:rsidRPr="009B365A">
        <w:rPr>
          <w:rFonts w:ascii="Times New Roman" w:eastAsiaTheme="minorHAnsi" w:hAnsi="Times New Roman"/>
          <w:sz w:val="24"/>
          <w:szCs w:val="24"/>
          <w:lang w:val="x-none" w:eastAsia="x-none"/>
        </w:rPr>
        <w:t xml:space="preserve">. и доп. — Москва : Издательство </w:t>
      </w:r>
      <w:proofErr w:type="spellStart"/>
      <w:r w:rsidRPr="009B365A">
        <w:rPr>
          <w:rFonts w:ascii="Times New Roman" w:eastAsiaTheme="minorHAnsi" w:hAnsi="Times New Roman"/>
          <w:sz w:val="24"/>
          <w:szCs w:val="24"/>
          <w:lang w:val="x-none" w:eastAsia="x-none"/>
        </w:rPr>
        <w:t>Юрайт</w:t>
      </w:r>
      <w:proofErr w:type="spellEnd"/>
      <w:r w:rsidRPr="009B365A">
        <w:rPr>
          <w:rFonts w:ascii="Times New Roman" w:eastAsiaTheme="minorHAnsi" w:hAnsi="Times New Roman"/>
          <w:sz w:val="24"/>
          <w:szCs w:val="24"/>
          <w:lang w:val="x-none" w:eastAsia="x-none"/>
        </w:rPr>
        <w:t>, 2021. — 186 с. — (Высшее образование). — ISBN 978-5-534-02107-3.</w:t>
      </w:r>
    </w:p>
    <w:p w14:paraId="5BC1B46F" w14:textId="77777777" w:rsidR="009B365A" w:rsidRPr="009B365A" w:rsidRDefault="009B365A" w:rsidP="009B365A">
      <w:pPr>
        <w:numPr>
          <w:ilvl w:val="0"/>
          <w:numId w:val="1"/>
        </w:numPr>
        <w:spacing w:after="0" w:line="240" w:lineRule="auto"/>
        <w:contextualSpacing/>
        <w:rPr>
          <w:rFonts w:ascii="Times New Roman" w:eastAsia="Times New Roman" w:hAnsi="Times New Roman"/>
          <w:sz w:val="24"/>
          <w:szCs w:val="24"/>
          <w:lang w:eastAsia="ru-RU"/>
        </w:rPr>
      </w:pPr>
      <w:r w:rsidRPr="009B365A">
        <w:rPr>
          <w:rFonts w:ascii="Times New Roman" w:hAnsi="Times New Roman"/>
          <w:sz w:val="24"/>
          <w:szCs w:val="24"/>
          <w:lang w:val="x-none" w:eastAsia="x-none"/>
        </w:rPr>
        <w:t xml:space="preserve">Симановский, А. Э.  Педагогическая психология : учебное пособие для вузов / А. Э. Симановский. — 2-е изд., </w:t>
      </w:r>
      <w:proofErr w:type="spellStart"/>
      <w:r w:rsidRPr="009B365A">
        <w:rPr>
          <w:rFonts w:ascii="Times New Roman" w:hAnsi="Times New Roman"/>
          <w:sz w:val="24"/>
          <w:szCs w:val="24"/>
          <w:lang w:val="x-none" w:eastAsia="x-none"/>
        </w:rPr>
        <w:t>испр</w:t>
      </w:r>
      <w:proofErr w:type="spellEnd"/>
      <w:r w:rsidRPr="009B365A">
        <w:rPr>
          <w:rFonts w:ascii="Times New Roman" w:hAnsi="Times New Roman"/>
          <w:sz w:val="24"/>
          <w:szCs w:val="24"/>
          <w:lang w:val="x-none" w:eastAsia="x-none"/>
        </w:rPr>
        <w:t xml:space="preserve">. и доп. — Москва : Издательство </w:t>
      </w:r>
      <w:proofErr w:type="spellStart"/>
      <w:r w:rsidRPr="009B365A">
        <w:rPr>
          <w:rFonts w:ascii="Times New Roman" w:hAnsi="Times New Roman"/>
          <w:sz w:val="24"/>
          <w:szCs w:val="24"/>
          <w:lang w:val="x-none" w:eastAsia="x-none"/>
        </w:rPr>
        <w:t>Юрайт</w:t>
      </w:r>
      <w:proofErr w:type="spellEnd"/>
      <w:r w:rsidRPr="009B365A">
        <w:rPr>
          <w:rFonts w:ascii="Times New Roman" w:hAnsi="Times New Roman"/>
          <w:sz w:val="24"/>
          <w:szCs w:val="24"/>
          <w:lang w:val="x-none" w:eastAsia="x-none"/>
        </w:rPr>
        <w:t xml:space="preserve">, 2021. — 203 с. — (Высшее образование). — ISBN 978-5-534-06004-1. </w:t>
      </w:r>
    </w:p>
    <w:p w14:paraId="3133F478" w14:textId="77777777" w:rsidR="009B365A" w:rsidRPr="009B365A" w:rsidRDefault="009B365A" w:rsidP="009B365A">
      <w:pPr>
        <w:numPr>
          <w:ilvl w:val="0"/>
          <w:numId w:val="1"/>
        </w:numPr>
        <w:spacing w:after="0" w:line="240" w:lineRule="auto"/>
        <w:contextualSpacing/>
        <w:rPr>
          <w:rFonts w:ascii="Times New Roman" w:eastAsia="Times New Roman" w:hAnsi="Times New Roman"/>
          <w:sz w:val="24"/>
          <w:szCs w:val="24"/>
          <w:lang w:eastAsia="ru-RU"/>
        </w:rPr>
      </w:pPr>
      <w:hyperlink r:id="rId8" w:tooltip="Фиофанова Ольга Александровна" w:history="1">
        <w:r w:rsidRPr="009B365A">
          <w:rPr>
            <w:rFonts w:ascii="Times New Roman" w:eastAsia="Times New Roman" w:hAnsi="Times New Roman"/>
            <w:sz w:val="24"/>
            <w:szCs w:val="24"/>
            <w:lang w:eastAsia="ru-RU"/>
          </w:rPr>
          <w:t>Фиофанова</w:t>
        </w:r>
      </w:hyperlink>
      <w:r w:rsidRPr="009B365A">
        <w:rPr>
          <w:rFonts w:ascii="Times New Roman" w:eastAsia="Times New Roman" w:hAnsi="Times New Roman"/>
          <w:sz w:val="24"/>
          <w:szCs w:val="24"/>
          <w:lang w:eastAsia="ru-RU"/>
        </w:rPr>
        <w:t xml:space="preserve"> О.</w:t>
      </w:r>
      <w:r w:rsidRPr="009B365A">
        <w:rPr>
          <w:rFonts w:ascii="Times New Roman" w:hAnsi="Times New Roman"/>
          <w:sz w:val="24"/>
          <w:szCs w:val="24"/>
        </w:rPr>
        <w:t xml:space="preserve"> </w:t>
      </w:r>
      <w:hyperlink r:id="rId9" w:tooltip="Перейти к оглавлению" w:history="1">
        <w:r w:rsidRPr="009B365A">
          <w:rPr>
            <w:rFonts w:ascii="Times New Roman" w:eastAsia="Times New Roman" w:hAnsi="Times New Roman"/>
            <w:sz w:val="24"/>
            <w:szCs w:val="24"/>
            <w:lang w:eastAsia="ru-RU"/>
          </w:rPr>
          <w:t>Психология взросления и воспитательные практики нового поколения: учебное пособие</w:t>
        </w:r>
      </w:hyperlink>
      <w:r w:rsidRPr="009B365A">
        <w:rPr>
          <w:rFonts w:ascii="Times New Roman" w:eastAsia="Times New Roman" w:hAnsi="Times New Roman"/>
          <w:sz w:val="24"/>
          <w:szCs w:val="24"/>
          <w:lang w:eastAsia="ru-RU"/>
        </w:rPr>
        <w:t xml:space="preserve"> </w:t>
      </w:r>
      <w:hyperlink r:id="rId10" w:history="1">
        <w:r w:rsidRPr="009B365A">
          <w:rPr>
            <w:rFonts w:ascii="Times New Roman" w:eastAsia="Times New Roman" w:hAnsi="Times New Roman"/>
            <w:sz w:val="24"/>
            <w:szCs w:val="24"/>
            <w:lang w:eastAsia="ru-RU"/>
          </w:rPr>
          <w:t>https://bookap.info/book/fiofanova_psihologiya_vzrosleniya_i_vospitatelnye_praktiki_novogo_pokoleniya_uchebnoe_posobie/</w:t>
        </w:r>
      </w:hyperlink>
    </w:p>
    <w:p w14:paraId="313679E2" w14:textId="77777777" w:rsidR="009566D2" w:rsidRPr="009B365A" w:rsidRDefault="009B365A" w:rsidP="009B365A">
      <w:pPr>
        <w:numPr>
          <w:ilvl w:val="0"/>
          <w:numId w:val="1"/>
        </w:numPr>
        <w:spacing w:after="0" w:line="240" w:lineRule="auto"/>
        <w:contextualSpacing/>
        <w:rPr>
          <w:rFonts w:ascii="Times New Roman" w:eastAsia="Times New Roman" w:hAnsi="Times New Roman"/>
          <w:sz w:val="24"/>
          <w:szCs w:val="24"/>
          <w:lang w:eastAsia="ru-RU"/>
        </w:rPr>
      </w:pPr>
      <w:r w:rsidRPr="009B365A">
        <w:rPr>
          <w:rFonts w:ascii="Times New Roman" w:hAnsi="Times New Roman"/>
          <w:sz w:val="24"/>
          <w:szCs w:val="24"/>
          <w:lang w:val="x-none" w:eastAsia="x-none"/>
        </w:rPr>
        <w:t xml:space="preserve">Шакурова, М. В.  Социальное воспитание в школе : учебное пособие для вузов / М. В. Шакурова. — 2-е изд., </w:t>
      </w:r>
      <w:proofErr w:type="spellStart"/>
      <w:r w:rsidRPr="009B365A">
        <w:rPr>
          <w:rFonts w:ascii="Times New Roman" w:hAnsi="Times New Roman"/>
          <w:sz w:val="24"/>
          <w:szCs w:val="24"/>
          <w:lang w:val="x-none" w:eastAsia="x-none"/>
        </w:rPr>
        <w:t>перераб</w:t>
      </w:r>
      <w:proofErr w:type="spellEnd"/>
      <w:r w:rsidRPr="009B365A">
        <w:rPr>
          <w:rFonts w:ascii="Times New Roman" w:hAnsi="Times New Roman"/>
          <w:sz w:val="24"/>
          <w:szCs w:val="24"/>
          <w:lang w:val="x-none" w:eastAsia="x-none"/>
        </w:rPr>
        <w:t xml:space="preserve">. и доп. — Москва : Издательство </w:t>
      </w:r>
      <w:proofErr w:type="spellStart"/>
      <w:r w:rsidRPr="009B365A">
        <w:rPr>
          <w:rFonts w:ascii="Times New Roman" w:hAnsi="Times New Roman"/>
          <w:sz w:val="24"/>
          <w:szCs w:val="24"/>
          <w:lang w:val="x-none" w:eastAsia="x-none"/>
        </w:rPr>
        <w:t>Юрайт</w:t>
      </w:r>
      <w:proofErr w:type="spellEnd"/>
      <w:r w:rsidRPr="009B365A">
        <w:rPr>
          <w:rFonts w:ascii="Times New Roman" w:hAnsi="Times New Roman"/>
          <w:sz w:val="24"/>
          <w:szCs w:val="24"/>
          <w:lang w:val="x-none" w:eastAsia="x-none"/>
        </w:rPr>
        <w:t>, 2021. — 280 с. — (Высшее образование). — ISBN 978-5-534-06728-6.</w:t>
      </w:r>
    </w:p>
    <w:bookmarkEnd w:id="0"/>
    <w:p w14:paraId="11EEA839" w14:textId="77777777" w:rsidR="009B365A" w:rsidRPr="009B365A" w:rsidRDefault="009B365A" w:rsidP="009B365A">
      <w:pPr>
        <w:rPr>
          <w:rFonts w:ascii="Times New Roman" w:hAnsi="Times New Roman"/>
          <w:sz w:val="24"/>
          <w:szCs w:val="24"/>
        </w:rPr>
      </w:pPr>
    </w:p>
    <w:p w14:paraId="51FEF677" w14:textId="77777777" w:rsidR="001F71F6" w:rsidRDefault="001F71F6" w:rsidP="009B365A">
      <w:pPr>
        <w:spacing w:after="0" w:line="240" w:lineRule="auto"/>
      </w:pPr>
    </w:p>
    <w:sectPr w:rsidR="001F7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B3D7C"/>
    <w:multiLevelType w:val="hybridMultilevel"/>
    <w:tmpl w:val="64FA5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B3"/>
    <w:rsid w:val="001F71F6"/>
    <w:rsid w:val="002544E4"/>
    <w:rsid w:val="00272060"/>
    <w:rsid w:val="00986CB3"/>
    <w:rsid w:val="009B365A"/>
    <w:rsid w:val="00D80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B9F1"/>
  <w15:chartTrackingRefBased/>
  <w15:docId w15:val="{3A1B2A49-2947-4C7C-8951-B4A0EF91B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1F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F71F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173833">
      <w:bodyDiv w:val="1"/>
      <w:marLeft w:val="0"/>
      <w:marRight w:val="0"/>
      <w:marTop w:val="0"/>
      <w:marBottom w:val="0"/>
      <w:divBdr>
        <w:top w:val="none" w:sz="0" w:space="0" w:color="auto"/>
        <w:left w:val="none" w:sz="0" w:space="0" w:color="auto"/>
        <w:bottom w:val="none" w:sz="0" w:space="0" w:color="auto"/>
        <w:right w:val="none" w:sz="0" w:space="0" w:color="auto"/>
      </w:divBdr>
      <w:divsChild>
        <w:div w:id="585263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ap.info/author/3319" TargetMode="External"/><Relationship Id="rId3" Type="http://schemas.openxmlformats.org/officeDocument/2006/relationships/settings" Target="settings.xml"/><Relationship Id="rId7" Type="http://schemas.openxmlformats.org/officeDocument/2006/relationships/hyperlink" Target="https://bookap.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ap.info/" TargetMode="External"/><Relationship Id="rId11" Type="http://schemas.openxmlformats.org/officeDocument/2006/relationships/fontTable" Target="fontTable.xml"/><Relationship Id="rId5" Type="http://schemas.openxmlformats.org/officeDocument/2006/relationships/hyperlink" Target="https://bookap.info/" TargetMode="External"/><Relationship Id="rId10" Type="http://schemas.openxmlformats.org/officeDocument/2006/relationships/hyperlink" Target="https://bookap.info/book/fiofanova_psihologiya_vzrosleniya_i_vospitatelnye_praktiki_novogo_pokoleniya_uchebnoe_posobie/" TargetMode="External"/><Relationship Id="rId4" Type="http://schemas.openxmlformats.org/officeDocument/2006/relationships/webSettings" Target="webSettings.xml"/><Relationship Id="rId9" Type="http://schemas.openxmlformats.org/officeDocument/2006/relationships/hyperlink" Target="https://bookap.info/book/fiofanova_psihologiya_vzrosleniya_i_vospitatelnye_praktiki_novogo_pokoleniya_uchebnoe_posob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1445</Words>
  <Characters>8242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2023-02-23T10:19:00Z</dcterms:created>
  <dcterms:modified xsi:type="dcterms:W3CDTF">2023-09-11T07:02:00Z</dcterms:modified>
</cp:coreProperties>
</file>