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EFE81" w14:textId="183BC35A" w:rsidR="00F77836" w:rsidRDefault="00F77836" w:rsidP="00F77836">
      <w:pPr>
        <w:spacing w:before="100" w:beforeAutospacing="1" w:after="100" w:afterAutospacing="1" w:line="271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ru-RU"/>
        </w:rPr>
      </w:pPr>
      <w:r w:rsidRPr="00F77836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>Тема 2.5</w:t>
      </w:r>
      <w:r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>-21</w:t>
      </w:r>
      <w:r w:rsidRPr="00F77836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 xml:space="preserve"> Полимеры</w:t>
      </w:r>
    </w:p>
    <w:p w14:paraId="47C204EC" w14:textId="7808141D" w:rsidR="00F77836" w:rsidRPr="00F77836" w:rsidRDefault="00F77836" w:rsidP="00F77836">
      <w:pPr>
        <w:pStyle w:val="a3"/>
        <w:numPr>
          <w:ilvl w:val="0"/>
          <w:numId w:val="1"/>
        </w:numPr>
        <w:spacing w:before="100" w:beforeAutospacing="1" w:after="100" w:afterAutospacing="1" w:line="271" w:lineRule="auto"/>
        <w:rPr>
          <w:rFonts w:ascii="Times New Roman" w:eastAsia="SimSun" w:hAnsi="Times New Roman" w:cs="Times New Roman"/>
          <w:bCs/>
          <w:i/>
          <w:iCs/>
          <w:sz w:val="24"/>
          <w:szCs w:val="24"/>
          <w:lang w:eastAsia="ru-RU"/>
        </w:rPr>
      </w:pPr>
      <w:r w:rsidRPr="00F77836">
        <w:rPr>
          <w:rFonts w:ascii="Times New Roman" w:eastAsia="SimSun" w:hAnsi="Times New Roman" w:cs="Times New Roman"/>
          <w:bCs/>
          <w:i/>
          <w:iCs/>
          <w:sz w:val="24"/>
          <w:szCs w:val="24"/>
          <w:lang w:eastAsia="ru-RU"/>
        </w:rPr>
        <w:t>Полимеры</w:t>
      </w:r>
    </w:p>
    <w:p w14:paraId="17AEBEF8" w14:textId="4212131A" w:rsidR="00D5342E" w:rsidRDefault="00D5342E"/>
    <w:p w14:paraId="4A739C9E" w14:textId="2F334779" w:rsidR="0045518C" w:rsidRDefault="0045518C">
      <w:r w:rsidRPr="0045518C">
        <w:drawing>
          <wp:inline distT="0" distB="0" distL="0" distR="0" wp14:anchorId="7FB64D7B" wp14:editId="19327F51">
            <wp:extent cx="6320790" cy="1120140"/>
            <wp:effectExtent l="0" t="0" r="381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b="73690"/>
                    <a:stretch/>
                  </pic:blipFill>
                  <pic:spPr bwMode="auto">
                    <a:xfrm>
                      <a:off x="0" y="0"/>
                      <a:ext cx="6320790" cy="11201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49C8AB" w14:textId="77777777" w:rsidR="0065249A" w:rsidRDefault="0065249A" w:rsidP="0065249A">
      <w:pPr>
        <w:spacing w:after="0"/>
      </w:pPr>
    </w:p>
    <w:p w14:paraId="5A5EFAD4" w14:textId="08C97AE6" w:rsidR="0065249A" w:rsidRDefault="0065249A">
      <w:r w:rsidRPr="0045518C">
        <w:drawing>
          <wp:inline distT="0" distB="0" distL="0" distR="0" wp14:anchorId="347C81E7" wp14:editId="3EC1E321">
            <wp:extent cx="5940315" cy="2529840"/>
            <wp:effectExtent l="0" t="0" r="3810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t="28947" b="7825"/>
                    <a:stretch/>
                  </pic:blipFill>
                  <pic:spPr bwMode="auto">
                    <a:xfrm>
                      <a:off x="0" y="0"/>
                      <a:ext cx="5940425" cy="25298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03B023" w14:textId="6A6D3B49" w:rsidR="0045518C" w:rsidRDefault="0045518C">
      <w:r w:rsidRPr="0045518C">
        <w:drawing>
          <wp:inline distT="0" distB="0" distL="0" distR="0" wp14:anchorId="209CFD52" wp14:editId="2952A17A">
            <wp:extent cx="6240780" cy="419100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b="92741"/>
                    <a:stretch/>
                  </pic:blipFill>
                  <pic:spPr bwMode="auto">
                    <a:xfrm>
                      <a:off x="0" y="0"/>
                      <a:ext cx="6240780" cy="419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E19262" w14:textId="5833E710" w:rsidR="0065249A" w:rsidRDefault="00F77836">
      <w:r w:rsidRPr="0045518C">
        <w:drawing>
          <wp:inline distT="0" distB="0" distL="0" distR="0" wp14:anchorId="1CB54E0E" wp14:editId="3783D94B">
            <wp:extent cx="2273730" cy="3383280"/>
            <wp:effectExtent l="0" t="0" r="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28" t="8620" r="50610" b="160"/>
                    <a:stretch/>
                  </pic:blipFill>
                  <pic:spPr bwMode="auto">
                    <a:xfrm>
                      <a:off x="0" y="0"/>
                      <a:ext cx="2279562" cy="33919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E673E6" w14:textId="77777777" w:rsidR="0065249A" w:rsidRPr="0065249A" w:rsidRDefault="0065249A" w:rsidP="0065249A">
      <w:pPr>
        <w:spacing w:before="100" w:beforeAutospacing="1" w:after="100" w:afterAutospacing="1" w:line="240" w:lineRule="auto"/>
        <w:jc w:val="both"/>
        <w:rPr>
          <w:rFonts w:ascii="TT Firs Neue" w:eastAsia="Times New Roman" w:hAnsi="TT Firs Neue" w:cs="Times New Roman"/>
          <w:color w:val="331F15"/>
          <w:sz w:val="24"/>
          <w:szCs w:val="24"/>
          <w:lang w:eastAsia="ru-RU"/>
        </w:rPr>
      </w:pPr>
      <w:r w:rsidRPr="0065249A">
        <w:rPr>
          <w:rFonts w:ascii="TT Firs Neue" w:eastAsia="Times New Roman" w:hAnsi="TT Firs Neue" w:cs="Times New Roman"/>
          <w:color w:val="331F15"/>
          <w:sz w:val="24"/>
          <w:szCs w:val="24"/>
          <w:lang w:eastAsia="ru-RU"/>
        </w:rPr>
        <w:lastRenderedPageBreak/>
        <w:t>По химической группе полимеры можно разделить на </w:t>
      </w:r>
      <w:r w:rsidRPr="0065249A">
        <w:rPr>
          <w:rFonts w:ascii="TT Firs Neue" w:eastAsia="Times New Roman" w:hAnsi="TT Firs Neue" w:cs="Times New Roman"/>
          <w:b/>
          <w:bCs/>
          <w:color w:val="331F15"/>
          <w:sz w:val="24"/>
          <w:szCs w:val="24"/>
          <w:lang w:eastAsia="ru-RU"/>
        </w:rPr>
        <w:t>органические и неорганические.</w:t>
      </w:r>
    </w:p>
    <w:tbl>
      <w:tblPr>
        <w:tblW w:w="979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99"/>
        <w:gridCol w:w="4696"/>
      </w:tblGrid>
      <w:tr w:rsidR="0065249A" w:rsidRPr="0065249A" w14:paraId="10B558EB" w14:textId="77777777" w:rsidTr="00F77836">
        <w:trPr>
          <w:trHeight w:val="295"/>
          <w:tblCellSpacing w:w="15" w:type="dxa"/>
        </w:trPr>
        <w:tc>
          <w:tcPr>
            <w:tcW w:w="0" w:type="auto"/>
            <w:tcBorders>
              <w:top w:val="single" w:sz="6" w:space="0" w:color="E9E0F1"/>
              <w:left w:val="single" w:sz="6" w:space="0" w:color="E9E0F1"/>
              <w:bottom w:val="nil"/>
              <w:right w:val="nil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54F924E8" w14:textId="77777777" w:rsidR="0065249A" w:rsidRPr="0065249A" w:rsidRDefault="0065249A" w:rsidP="004B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4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Органические</w:t>
            </w:r>
          </w:p>
        </w:tc>
        <w:tc>
          <w:tcPr>
            <w:tcW w:w="0" w:type="auto"/>
            <w:tcBorders>
              <w:top w:val="single" w:sz="6" w:space="0" w:color="E9E0F1"/>
              <w:left w:val="single" w:sz="6" w:space="0" w:color="E9E0F1"/>
              <w:bottom w:val="nil"/>
              <w:right w:val="single" w:sz="6" w:space="0" w:color="E9E0F1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7509B6C3" w14:textId="77777777" w:rsidR="0065249A" w:rsidRPr="0065249A" w:rsidRDefault="0065249A" w:rsidP="004B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4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Неорганические</w:t>
            </w:r>
          </w:p>
        </w:tc>
      </w:tr>
      <w:tr w:rsidR="0065249A" w:rsidRPr="0065249A" w14:paraId="6A3D5BE2" w14:textId="77777777" w:rsidTr="00F77836">
        <w:trPr>
          <w:trHeight w:val="1168"/>
          <w:tblCellSpacing w:w="15" w:type="dxa"/>
        </w:trPr>
        <w:tc>
          <w:tcPr>
            <w:tcW w:w="0" w:type="auto"/>
            <w:tcBorders>
              <w:top w:val="single" w:sz="6" w:space="0" w:color="E9E0F1"/>
              <w:left w:val="single" w:sz="6" w:space="0" w:color="E9E0F1"/>
              <w:bottom w:val="single" w:sz="6" w:space="0" w:color="E9E0F1"/>
              <w:right w:val="nil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1820EF70" w14:textId="77777777" w:rsidR="0065249A" w:rsidRPr="0065249A" w:rsidRDefault="0065249A" w:rsidP="004B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4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Полисахариды, белки и </w:t>
            </w:r>
            <w:proofErr w:type="spellStart"/>
            <w:r w:rsidRPr="006524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полинуклеотиды</w:t>
            </w:r>
            <w:proofErr w:type="spellEnd"/>
            <w:r w:rsidRPr="006524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(ДНК и РНК), полиэфиры, нейлон и поликарбонат, натуральный каучук, лен, хлопок, шелк, пенька</w:t>
            </w:r>
          </w:p>
        </w:tc>
        <w:tc>
          <w:tcPr>
            <w:tcW w:w="0" w:type="auto"/>
            <w:tcBorders>
              <w:top w:val="single" w:sz="6" w:space="0" w:color="E9E0F1"/>
              <w:left w:val="single" w:sz="6" w:space="0" w:color="E9E0F1"/>
              <w:bottom w:val="single" w:sz="6" w:space="0" w:color="E9E0F1"/>
              <w:right w:val="single" w:sz="6" w:space="0" w:color="E9E0F1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428E5AC7" w14:textId="77777777" w:rsidR="0065249A" w:rsidRPr="0065249A" w:rsidRDefault="0065249A" w:rsidP="004B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4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Кварц, графит, алмаз, </w:t>
            </w:r>
            <w:proofErr w:type="gramStart"/>
            <w:r w:rsidRPr="006524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силикон,  </w:t>
            </w:r>
            <w:proofErr w:type="spellStart"/>
            <w:r w:rsidRPr="006524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полидиметилсилоксан</w:t>
            </w:r>
            <w:proofErr w:type="spellEnd"/>
            <w:proofErr w:type="gramEnd"/>
            <w:r w:rsidRPr="006524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6524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полифосфазены</w:t>
            </w:r>
            <w:proofErr w:type="spellEnd"/>
          </w:p>
        </w:tc>
      </w:tr>
    </w:tbl>
    <w:p w14:paraId="595F70F8" w14:textId="77777777" w:rsidR="0065249A" w:rsidRDefault="0065249A"/>
    <w:p w14:paraId="29A8EF0C" w14:textId="4D581600" w:rsidR="0045518C" w:rsidRDefault="0045518C">
      <w:r w:rsidRPr="0045518C">
        <w:drawing>
          <wp:inline distT="0" distB="0" distL="0" distR="0" wp14:anchorId="72180A14" wp14:editId="11DF6B1F">
            <wp:extent cx="6363328" cy="429006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69410" cy="4294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D72656" w14:textId="77777777" w:rsidR="00F77836" w:rsidRPr="00F77836" w:rsidRDefault="00F77836" w:rsidP="00F77836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444444"/>
        </w:rPr>
      </w:pPr>
      <w:r w:rsidRPr="00F77836">
        <w:rPr>
          <w:rStyle w:val="a5"/>
          <w:color w:val="000000"/>
        </w:rPr>
        <w:t>Степень полимеризации</w:t>
      </w:r>
      <w:r w:rsidRPr="00F77836">
        <w:rPr>
          <w:color w:val="000000"/>
        </w:rPr>
        <w:t> — это число, показывающее сколько молекул мономера соединилось в макромолекулу. </w:t>
      </w:r>
    </w:p>
    <w:p w14:paraId="75E69425" w14:textId="77777777" w:rsidR="00F77836" w:rsidRPr="00F77836" w:rsidRDefault="00F77836" w:rsidP="00F77836">
      <w:pPr>
        <w:pStyle w:val="a4"/>
        <w:shd w:val="clear" w:color="auto" w:fill="FFFFFF"/>
        <w:spacing w:before="0" w:beforeAutospacing="0" w:after="264" w:afterAutospacing="0" w:line="276" w:lineRule="auto"/>
        <w:jc w:val="both"/>
        <w:rPr>
          <w:color w:val="444444"/>
        </w:rPr>
      </w:pPr>
      <w:r w:rsidRPr="00F77836">
        <w:rPr>
          <w:noProof/>
          <w:color w:val="444444"/>
        </w:rPr>
        <w:drawing>
          <wp:inline distT="0" distB="0" distL="0" distR="0" wp14:anchorId="69794E34" wp14:editId="6DBA236A">
            <wp:extent cx="4411980" cy="1394460"/>
            <wp:effectExtent l="0" t="0" r="762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1980" cy="139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CE46A7" w14:textId="77777777" w:rsidR="00F77836" w:rsidRPr="00F77836" w:rsidRDefault="00F77836" w:rsidP="00F77836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444444"/>
        </w:rPr>
      </w:pPr>
      <w:r w:rsidRPr="00F77836">
        <w:rPr>
          <w:color w:val="000000"/>
        </w:rPr>
        <w:t>Степень полимеризации обычно обозначается индексом «n» за скобками, включающими в себя структурное (</w:t>
      </w:r>
      <w:proofErr w:type="spellStart"/>
      <w:r w:rsidRPr="00F77836">
        <w:rPr>
          <w:color w:val="000000"/>
        </w:rPr>
        <w:t>мономерное</w:t>
      </w:r>
      <w:proofErr w:type="spellEnd"/>
      <w:r w:rsidRPr="00F77836">
        <w:rPr>
          <w:color w:val="000000"/>
        </w:rPr>
        <w:t xml:space="preserve">) </w:t>
      </w:r>
      <w:proofErr w:type="gramStart"/>
      <w:r w:rsidRPr="00F77836">
        <w:rPr>
          <w:color w:val="000000"/>
        </w:rPr>
        <w:t>звено:  </w:t>
      </w:r>
      <w:r w:rsidRPr="00F77836">
        <w:rPr>
          <w:rStyle w:val="a5"/>
          <w:color w:val="000000"/>
        </w:rPr>
        <w:t>(</w:t>
      </w:r>
      <w:proofErr w:type="gramEnd"/>
      <w:r w:rsidRPr="00F77836">
        <w:rPr>
          <w:rStyle w:val="a5"/>
          <w:color w:val="000000"/>
        </w:rPr>
        <w:t>–CH</w:t>
      </w:r>
      <w:r w:rsidRPr="00F77836">
        <w:rPr>
          <w:rStyle w:val="a5"/>
          <w:b w:val="0"/>
          <w:bCs w:val="0"/>
          <w:color w:val="000000"/>
          <w:bdr w:val="none" w:sz="0" w:space="0" w:color="auto" w:frame="1"/>
          <w:vertAlign w:val="subscript"/>
        </w:rPr>
        <w:t>2</w:t>
      </w:r>
      <w:r w:rsidRPr="00F77836">
        <w:rPr>
          <w:rStyle w:val="a5"/>
          <w:color w:val="000000"/>
        </w:rPr>
        <w:t>–CH</w:t>
      </w:r>
      <w:r w:rsidRPr="00F77836">
        <w:rPr>
          <w:rStyle w:val="a5"/>
          <w:b w:val="0"/>
          <w:bCs w:val="0"/>
          <w:color w:val="000000"/>
          <w:bdr w:val="none" w:sz="0" w:space="0" w:color="auto" w:frame="1"/>
          <w:vertAlign w:val="subscript"/>
        </w:rPr>
        <w:t>2</w:t>
      </w:r>
      <w:r w:rsidRPr="00F77836">
        <w:rPr>
          <w:rStyle w:val="a5"/>
          <w:color w:val="000000"/>
        </w:rPr>
        <w:t>–)</w:t>
      </w:r>
      <w:r w:rsidRPr="00F77836">
        <w:rPr>
          <w:rStyle w:val="a6"/>
          <w:i w:val="0"/>
          <w:iCs w:val="0"/>
          <w:color w:val="000000"/>
          <w:bdr w:val="none" w:sz="0" w:space="0" w:color="auto" w:frame="1"/>
          <w:vertAlign w:val="subscript"/>
        </w:rPr>
        <w:t>n</w:t>
      </w:r>
    </w:p>
    <w:p w14:paraId="75EF4278" w14:textId="755813CF" w:rsidR="00F77836" w:rsidRDefault="00F77836">
      <w:r>
        <w:rPr>
          <w:noProof/>
        </w:rPr>
        <w:lastRenderedPageBreak/>
        <w:drawing>
          <wp:inline distT="0" distB="0" distL="0" distR="0" wp14:anchorId="4EFCE98E" wp14:editId="58F6BE97">
            <wp:extent cx="6276643" cy="393192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0138" cy="3940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46046E" w14:textId="51560556" w:rsidR="0045518C" w:rsidRDefault="0045518C">
      <w:r w:rsidRPr="0045518C">
        <w:drawing>
          <wp:inline distT="0" distB="0" distL="0" distR="0" wp14:anchorId="4AC58F48" wp14:editId="0902D954">
            <wp:extent cx="5158740" cy="1043911"/>
            <wp:effectExtent l="0" t="0" r="3810" b="444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3307" cy="1067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179E57" w14:textId="6122513C" w:rsidR="00F77836" w:rsidRDefault="00F77836"/>
    <w:p w14:paraId="54469332" w14:textId="77777777" w:rsidR="00C8223E" w:rsidRPr="00C8223E" w:rsidRDefault="00C8223E" w:rsidP="00C8223E">
      <w:pPr>
        <w:autoSpaceDE w:val="0"/>
        <w:spacing w:before="100" w:beforeAutospacing="1" w:after="100" w:afterAutospacing="1" w:line="25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8223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Основная литература</w:t>
      </w:r>
    </w:p>
    <w:p w14:paraId="3289B616" w14:textId="77777777" w:rsidR="00C8223E" w:rsidRPr="00C8223E" w:rsidRDefault="00C8223E" w:rsidP="00C8223E">
      <w:pPr>
        <w:autoSpaceDE w:val="0"/>
        <w:spacing w:before="100" w:beforeAutospacing="1" w:after="100" w:afterAutospacing="1" w:line="25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8223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 Анфиногенова, И. В.  </w:t>
      </w:r>
      <w:proofErr w:type="gramStart"/>
      <w:r w:rsidRPr="00C8223E">
        <w:rPr>
          <w:rFonts w:ascii="Times New Roman" w:eastAsia="Calibri" w:hAnsi="Times New Roman" w:cs="Times New Roman"/>
          <w:sz w:val="24"/>
          <w:szCs w:val="24"/>
          <w:lang w:eastAsia="ru-RU"/>
        </w:rPr>
        <w:t>Химия :</w:t>
      </w:r>
      <w:proofErr w:type="gramEnd"/>
      <w:r w:rsidRPr="00C8223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учебник и практикум для среднего профессионального образования / И. В. Анфиногенова, А. В. Бабков, В. А. Попков. — 2-е изд., </w:t>
      </w:r>
      <w:proofErr w:type="spellStart"/>
      <w:r w:rsidRPr="00C8223E">
        <w:rPr>
          <w:rFonts w:ascii="Times New Roman" w:eastAsia="Calibri" w:hAnsi="Times New Roman" w:cs="Times New Roman"/>
          <w:sz w:val="24"/>
          <w:szCs w:val="24"/>
          <w:lang w:eastAsia="ru-RU"/>
        </w:rPr>
        <w:t>испр</w:t>
      </w:r>
      <w:proofErr w:type="spellEnd"/>
      <w:r w:rsidRPr="00C8223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и доп. — </w:t>
      </w:r>
      <w:proofErr w:type="gramStart"/>
      <w:r w:rsidRPr="00C8223E">
        <w:rPr>
          <w:rFonts w:ascii="Times New Roman" w:eastAsia="Calibri" w:hAnsi="Times New Roman" w:cs="Times New Roman"/>
          <w:sz w:val="24"/>
          <w:szCs w:val="24"/>
          <w:lang w:eastAsia="ru-RU"/>
        </w:rPr>
        <w:t>Москва :</w:t>
      </w:r>
      <w:proofErr w:type="gramEnd"/>
      <w:r w:rsidRPr="00C8223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Издательство </w:t>
      </w:r>
      <w:proofErr w:type="spellStart"/>
      <w:r w:rsidRPr="00C8223E">
        <w:rPr>
          <w:rFonts w:ascii="Times New Roman" w:eastAsia="Calibri" w:hAnsi="Times New Roman" w:cs="Times New Roman"/>
          <w:sz w:val="24"/>
          <w:szCs w:val="24"/>
          <w:lang w:eastAsia="ru-RU"/>
        </w:rPr>
        <w:t>Юрайт</w:t>
      </w:r>
      <w:proofErr w:type="spellEnd"/>
      <w:r w:rsidRPr="00C8223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2024. — 291 с. — (Профессиональное образование). — ISBN 978-5-534-11719-6. — </w:t>
      </w:r>
      <w:proofErr w:type="gramStart"/>
      <w:r w:rsidRPr="00C8223E">
        <w:rPr>
          <w:rFonts w:ascii="Times New Roman" w:eastAsia="Calibri" w:hAnsi="Times New Roman" w:cs="Times New Roman"/>
          <w:sz w:val="24"/>
          <w:szCs w:val="24"/>
          <w:lang w:eastAsia="ru-RU"/>
        </w:rPr>
        <w:t>Текст :</w:t>
      </w:r>
      <w:proofErr w:type="gramEnd"/>
      <w:r w:rsidRPr="00C8223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электронный // Образовательная платформа </w:t>
      </w:r>
      <w:proofErr w:type="spellStart"/>
      <w:r w:rsidRPr="00C8223E">
        <w:rPr>
          <w:rFonts w:ascii="Times New Roman" w:eastAsia="Calibri" w:hAnsi="Times New Roman" w:cs="Times New Roman"/>
          <w:sz w:val="24"/>
          <w:szCs w:val="24"/>
          <w:lang w:eastAsia="ru-RU"/>
        </w:rPr>
        <w:t>Юрайт</w:t>
      </w:r>
      <w:proofErr w:type="spellEnd"/>
      <w:r w:rsidRPr="00C8223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[сайт]. — URL: </w:t>
      </w:r>
      <w:hyperlink r:id="rId11" w:history="1">
        <w:r w:rsidRPr="00C8223E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ru-RU"/>
          </w:rPr>
          <w:t>https://urait.ru/bcode/538526</w:t>
        </w:r>
      </w:hyperlink>
      <w:r w:rsidRPr="00C8223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(дата обращения: </w:t>
      </w:r>
      <w:bookmarkStart w:id="0" w:name="_Hlk223686647"/>
      <w:r w:rsidRPr="00C8223E">
        <w:rPr>
          <w:rFonts w:ascii="Times New Roman" w:eastAsia="Calibri" w:hAnsi="Times New Roman" w:cs="Times New Roman"/>
          <w:sz w:val="24"/>
          <w:szCs w:val="24"/>
          <w:lang w:eastAsia="ru-RU"/>
        </w:rPr>
        <w:t>06.09.2025</w:t>
      </w:r>
      <w:bookmarkEnd w:id="0"/>
      <w:r w:rsidRPr="00C8223E">
        <w:rPr>
          <w:rFonts w:ascii="Times New Roman" w:eastAsia="Calibri" w:hAnsi="Times New Roman" w:cs="Times New Roman"/>
          <w:sz w:val="24"/>
          <w:szCs w:val="24"/>
          <w:lang w:eastAsia="ru-RU"/>
        </w:rPr>
        <w:t>).</w:t>
      </w:r>
    </w:p>
    <w:p w14:paraId="681B4A6C" w14:textId="77777777" w:rsidR="00C8223E" w:rsidRPr="00C8223E" w:rsidRDefault="00C8223E" w:rsidP="00C8223E">
      <w:pPr>
        <w:autoSpaceDE w:val="0"/>
        <w:spacing w:before="100" w:beforeAutospacing="1" w:after="100" w:afterAutospacing="1" w:line="256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C8223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Дополнительные источники </w:t>
      </w:r>
    </w:p>
    <w:p w14:paraId="7A0308AB" w14:textId="77777777" w:rsidR="00C8223E" w:rsidRPr="00C8223E" w:rsidRDefault="00C8223E" w:rsidP="00C8223E">
      <w:pPr>
        <w:autoSpaceDE w:val="0"/>
        <w:spacing w:before="100" w:beforeAutospacing="1" w:after="100" w:afterAutospacing="1" w:line="25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8223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 Габриелян О. С., </w:t>
      </w:r>
      <w:proofErr w:type="gramStart"/>
      <w:r w:rsidRPr="00C8223E">
        <w:rPr>
          <w:rFonts w:ascii="Times New Roman" w:eastAsia="Calibri" w:hAnsi="Times New Roman" w:cs="Times New Roman"/>
          <w:sz w:val="24"/>
          <w:szCs w:val="24"/>
          <w:lang w:eastAsia="ru-RU"/>
        </w:rPr>
        <w:t>Химия :</w:t>
      </w:r>
      <w:proofErr w:type="gramEnd"/>
      <w:r w:rsidRPr="00C8223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10 </w:t>
      </w:r>
      <w:proofErr w:type="spellStart"/>
      <w:r w:rsidRPr="00C8223E">
        <w:rPr>
          <w:rFonts w:ascii="Times New Roman" w:eastAsia="Calibri" w:hAnsi="Times New Roman" w:cs="Times New Roman"/>
          <w:sz w:val="24"/>
          <w:szCs w:val="24"/>
          <w:lang w:eastAsia="ru-RU"/>
        </w:rPr>
        <w:t>кл</w:t>
      </w:r>
      <w:proofErr w:type="spellEnd"/>
      <w:r w:rsidRPr="00C8223E">
        <w:rPr>
          <w:rFonts w:ascii="Times New Roman" w:eastAsia="Calibri" w:hAnsi="Times New Roman" w:cs="Times New Roman"/>
          <w:sz w:val="24"/>
          <w:szCs w:val="24"/>
          <w:lang w:eastAsia="ru-RU"/>
        </w:rPr>
        <w:t>. Углубленный уровень. О.С. Габриелян, И.Г. Остроумов, С.Ю. Пономарев. – М.: Дрофа, 2014. – 366 с.</w:t>
      </w:r>
    </w:p>
    <w:p w14:paraId="7C935EB5" w14:textId="77777777" w:rsidR="00F77836" w:rsidRDefault="00F77836"/>
    <w:sectPr w:rsidR="00F778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T Firs Neue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DA04ED"/>
    <w:multiLevelType w:val="hybridMultilevel"/>
    <w:tmpl w:val="784A37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0F3"/>
    <w:rsid w:val="0045518C"/>
    <w:rsid w:val="0065249A"/>
    <w:rsid w:val="00C8223E"/>
    <w:rsid w:val="00D5342E"/>
    <w:rsid w:val="00E040F3"/>
    <w:rsid w:val="00F77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AD174"/>
  <w15:chartTrackingRefBased/>
  <w15:docId w15:val="{75A0499A-A510-467C-B6E2-F5FFCA3D5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783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F778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77836"/>
    <w:rPr>
      <w:b/>
      <w:bCs/>
    </w:rPr>
  </w:style>
  <w:style w:type="character" w:styleId="a6">
    <w:name w:val="Emphasis"/>
    <w:basedOn w:val="a0"/>
    <w:uiPriority w:val="20"/>
    <w:qFormat/>
    <w:rsid w:val="00F7783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45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urait.ru/bcode/538526" TargetMode="Externa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2026-03-23T19:12:00Z</dcterms:created>
  <dcterms:modified xsi:type="dcterms:W3CDTF">2026-03-23T19:28:00Z</dcterms:modified>
</cp:coreProperties>
</file>