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65C" w:rsidRDefault="00D3509F" w:rsidP="00D3509F">
      <w:pPr>
        <w:jc w:val="center"/>
        <w:rPr>
          <w:rFonts w:ascii="Times New Roman" w:hAnsi="Times New Roman" w:cs="Times New Roman"/>
          <w:b/>
          <w:sz w:val="24"/>
        </w:rPr>
      </w:pPr>
      <w:r w:rsidRPr="00D3509F">
        <w:rPr>
          <w:rFonts w:ascii="Times New Roman" w:hAnsi="Times New Roman" w:cs="Times New Roman"/>
          <w:b/>
          <w:sz w:val="24"/>
        </w:rPr>
        <w:t>Лекция 3. Мусульманские школы права</w:t>
      </w:r>
    </w:p>
    <w:p w:rsidR="00D3509F" w:rsidRPr="00D3509F" w:rsidRDefault="00D3509F" w:rsidP="00D3509F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D3509F">
        <w:rPr>
          <w:color w:val="000000"/>
        </w:rPr>
        <w:t>Опираясь на Коран и Сунну как каноническую основу исламского права, обособившиеся от богословия законоведы, используя указанные четыре метода решения спорных богословских проблем, в VIII–IX вв. создали в рамках ортодоксального суннитского ислама четыре наиболее известные и сохранившие свое влияние и поныне школы исламского права. Их основателями были известные законоведы</w:t>
      </w:r>
      <w:r w:rsidRPr="00D3509F">
        <w:rPr>
          <w:color w:val="000000"/>
        </w:rPr>
        <w:noBreakHyphen/>
        <w:t>имамы, по именам которых школы (</w:t>
      </w:r>
      <w:proofErr w:type="spellStart"/>
      <w:r w:rsidRPr="00D3509F">
        <w:rPr>
          <w:color w:val="000000"/>
        </w:rPr>
        <w:t>мазхабы</w:t>
      </w:r>
      <w:proofErr w:type="spellEnd"/>
      <w:r w:rsidRPr="00D3509F">
        <w:rPr>
          <w:color w:val="000000"/>
        </w:rPr>
        <w:t>) и были названы. Первым и наиболее почитаемым из них был Абу</w:t>
      </w:r>
      <w:r w:rsidRPr="00D3509F">
        <w:rPr>
          <w:color w:val="000000"/>
        </w:rPr>
        <w:noBreakHyphen/>
      </w:r>
      <w:proofErr w:type="spellStart"/>
      <w:r w:rsidRPr="00D3509F">
        <w:rPr>
          <w:color w:val="000000"/>
        </w:rPr>
        <w:t>Ханифа</w:t>
      </w:r>
      <w:proofErr w:type="spellEnd"/>
      <w:r w:rsidRPr="00D3509F">
        <w:rPr>
          <w:color w:val="000000"/>
        </w:rPr>
        <w:t xml:space="preserve"> (ум. в 767 г.).</w:t>
      </w:r>
    </w:p>
    <w:p w:rsidR="00D3509F" w:rsidRPr="00D3509F" w:rsidRDefault="00D3509F" w:rsidP="00D3509F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D3509F">
        <w:rPr>
          <w:color w:val="000000"/>
        </w:rPr>
        <w:t xml:space="preserve">Система </w:t>
      </w:r>
      <w:bookmarkStart w:id="0" w:name="_GoBack"/>
      <w:proofErr w:type="spellStart"/>
      <w:r w:rsidRPr="00D3509F">
        <w:rPr>
          <w:color w:val="000000"/>
        </w:rPr>
        <w:t>Х</w:t>
      </w:r>
      <w:bookmarkEnd w:id="0"/>
      <w:r w:rsidRPr="00D3509F">
        <w:rPr>
          <w:color w:val="000000"/>
        </w:rPr>
        <w:t>анифы</w:t>
      </w:r>
      <w:proofErr w:type="spellEnd"/>
      <w:r w:rsidRPr="00D3509F">
        <w:rPr>
          <w:color w:val="000000"/>
        </w:rPr>
        <w:t>, </w:t>
      </w:r>
      <w:proofErr w:type="spellStart"/>
      <w:r w:rsidRPr="00D3509F">
        <w:rPr>
          <w:i/>
          <w:iCs/>
          <w:color w:val="000000"/>
        </w:rPr>
        <w:t>ханифизм</w:t>
      </w:r>
      <w:proofErr w:type="spellEnd"/>
      <w:r w:rsidRPr="00D3509F">
        <w:rPr>
          <w:i/>
          <w:iCs/>
          <w:color w:val="000000"/>
        </w:rPr>
        <w:t>,</w:t>
      </w:r>
      <w:r w:rsidRPr="00D3509F">
        <w:rPr>
          <w:color w:val="000000"/>
        </w:rPr>
        <w:t xml:space="preserve"> опираясь, как и все другие системы, на Коран и Сунну, наибольшее внимание уделяет методам рая и </w:t>
      </w:r>
      <w:proofErr w:type="spellStart"/>
      <w:r w:rsidRPr="00D3509F">
        <w:rPr>
          <w:color w:val="000000"/>
        </w:rPr>
        <w:t>кыяса</w:t>
      </w:r>
      <w:proofErr w:type="spellEnd"/>
      <w:r w:rsidRPr="00D3509F">
        <w:rPr>
          <w:color w:val="000000"/>
        </w:rPr>
        <w:t xml:space="preserve">, т. е. индивидуальному толкованию и решению спорных проблем методом аналогии, со ссылками на все те же </w:t>
      </w:r>
      <w:proofErr w:type="spellStart"/>
      <w:r w:rsidRPr="00D3509F">
        <w:rPr>
          <w:color w:val="000000"/>
        </w:rPr>
        <w:t>аяты</w:t>
      </w:r>
      <w:proofErr w:type="spellEnd"/>
      <w:r w:rsidRPr="00D3509F">
        <w:rPr>
          <w:color w:val="000000"/>
        </w:rPr>
        <w:t xml:space="preserve"> Корана и хадисы Сунны. Признает эта система и </w:t>
      </w:r>
      <w:proofErr w:type="spellStart"/>
      <w:r w:rsidRPr="00D3509F">
        <w:rPr>
          <w:color w:val="000000"/>
        </w:rPr>
        <w:t>иджму</w:t>
      </w:r>
      <w:proofErr w:type="spellEnd"/>
      <w:r w:rsidRPr="00D3509F">
        <w:rPr>
          <w:color w:val="000000"/>
        </w:rPr>
        <w:t xml:space="preserve">, но в значительно меньшей степени. Зато именно </w:t>
      </w:r>
      <w:proofErr w:type="spellStart"/>
      <w:r w:rsidRPr="00D3509F">
        <w:rPr>
          <w:color w:val="000000"/>
        </w:rPr>
        <w:t>ханифизму</w:t>
      </w:r>
      <w:proofErr w:type="spellEnd"/>
      <w:r w:rsidRPr="00D3509F">
        <w:rPr>
          <w:color w:val="000000"/>
        </w:rPr>
        <w:t xml:space="preserve"> принадлежит выдвижение на передний план метода </w:t>
      </w:r>
      <w:proofErr w:type="spellStart"/>
      <w:r w:rsidRPr="00D3509F">
        <w:rPr>
          <w:color w:val="000000"/>
        </w:rPr>
        <w:t>истислах</w:t>
      </w:r>
      <w:proofErr w:type="spellEnd"/>
      <w:r w:rsidRPr="00D3509F">
        <w:rPr>
          <w:color w:val="000000"/>
        </w:rPr>
        <w:t xml:space="preserve">, т. е. критики отдельных положений некоторых хадисов. </w:t>
      </w:r>
      <w:proofErr w:type="spellStart"/>
      <w:r w:rsidRPr="00D3509F">
        <w:rPr>
          <w:color w:val="000000"/>
        </w:rPr>
        <w:t>Ханифизм</w:t>
      </w:r>
      <w:proofErr w:type="spellEnd"/>
      <w:r w:rsidRPr="00D3509F">
        <w:rPr>
          <w:color w:val="000000"/>
        </w:rPr>
        <w:t xml:space="preserve"> немало внимания уделяет и обычному праву арабского и иных мусульманских народов – адату, нормы которого, будучи увязаны с основами ислама, также должны быть приняты во внимание. Исламское право </w:t>
      </w:r>
      <w:proofErr w:type="spellStart"/>
      <w:r w:rsidRPr="00D3509F">
        <w:rPr>
          <w:color w:val="000000"/>
        </w:rPr>
        <w:t>ханифитского</w:t>
      </w:r>
      <w:proofErr w:type="spellEnd"/>
      <w:r w:rsidRPr="00D3509F">
        <w:rPr>
          <w:color w:val="000000"/>
        </w:rPr>
        <w:t xml:space="preserve"> толка наиболее гибко; </w:t>
      </w:r>
      <w:proofErr w:type="spellStart"/>
      <w:r w:rsidRPr="00D3509F">
        <w:rPr>
          <w:color w:val="000000"/>
        </w:rPr>
        <w:t>ханифизм</w:t>
      </w:r>
      <w:proofErr w:type="spellEnd"/>
      <w:r w:rsidRPr="00D3509F">
        <w:rPr>
          <w:color w:val="000000"/>
        </w:rPr>
        <w:t xml:space="preserve"> умело и удачно приспосабливался к новым веяниям, к меняющейся этнокультурной среде и т. п. Этим в значительной мере объясняется то, что именно </w:t>
      </w:r>
      <w:proofErr w:type="spellStart"/>
      <w:r w:rsidRPr="00D3509F">
        <w:rPr>
          <w:color w:val="000000"/>
        </w:rPr>
        <w:t>ханифитский</w:t>
      </w:r>
      <w:proofErr w:type="spellEnd"/>
      <w:r w:rsidRPr="00D3509F">
        <w:rPr>
          <w:color w:val="000000"/>
        </w:rPr>
        <w:t xml:space="preserve"> </w:t>
      </w:r>
      <w:proofErr w:type="spellStart"/>
      <w:r w:rsidRPr="00D3509F">
        <w:rPr>
          <w:color w:val="000000"/>
        </w:rPr>
        <w:t>мазхаб</w:t>
      </w:r>
      <w:proofErr w:type="spellEnd"/>
      <w:r w:rsidRPr="00D3509F">
        <w:rPr>
          <w:color w:val="000000"/>
        </w:rPr>
        <w:t xml:space="preserve"> предпочли тюрки, принявшие ислам в XI в. и затем занявшие ключевые позиции в исламе. </w:t>
      </w:r>
      <w:proofErr w:type="spellStart"/>
      <w:r w:rsidRPr="00D3509F">
        <w:rPr>
          <w:color w:val="000000"/>
        </w:rPr>
        <w:t>Ханифизм</w:t>
      </w:r>
      <w:proofErr w:type="spellEnd"/>
      <w:r w:rsidRPr="00D3509F">
        <w:rPr>
          <w:color w:val="000000"/>
        </w:rPr>
        <w:t xml:space="preserve"> стал наиболее предпочтительной системой исламского права в Османской империи и вплоть до сегодняшнего дня к его приверженцам относятся не менее трети насчитывающихся в современном мире мусульман</w:t>
      </w:r>
      <w:r w:rsidRPr="00D3509F">
        <w:rPr>
          <w:color w:val="000000"/>
        </w:rPr>
        <w:noBreakHyphen/>
        <w:t>суннитов, проживающих в Турции, Афганистане, Египте, Пакистане, Индии и некоторых других странах.</w:t>
      </w:r>
    </w:p>
    <w:p w:rsidR="00D3509F" w:rsidRPr="00D3509F" w:rsidRDefault="00D3509F" w:rsidP="00D3509F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D3509F">
        <w:rPr>
          <w:color w:val="000000"/>
        </w:rPr>
        <w:t>Система Малика (ум. в 795 г.), </w:t>
      </w:r>
      <w:proofErr w:type="spellStart"/>
      <w:r w:rsidRPr="00D3509F">
        <w:rPr>
          <w:i/>
          <w:iCs/>
          <w:color w:val="000000"/>
        </w:rPr>
        <w:t>маликизм</w:t>
      </w:r>
      <w:proofErr w:type="spellEnd"/>
      <w:r w:rsidRPr="00D3509F">
        <w:rPr>
          <w:i/>
          <w:iCs/>
          <w:color w:val="000000"/>
        </w:rPr>
        <w:t>,</w:t>
      </w:r>
      <w:r w:rsidRPr="00D3509F">
        <w:rPr>
          <w:color w:val="000000"/>
        </w:rPr>
        <w:t xml:space="preserve"> признает в качестве основ права Коран, Сунну и адат, опирается, как и </w:t>
      </w:r>
      <w:proofErr w:type="spellStart"/>
      <w:r w:rsidRPr="00D3509F">
        <w:rPr>
          <w:color w:val="000000"/>
        </w:rPr>
        <w:t>ханифизм</w:t>
      </w:r>
      <w:proofErr w:type="spellEnd"/>
      <w:r w:rsidRPr="00D3509F">
        <w:rPr>
          <w:color w:val="000000"/>
        </w:rPr>
        <w:t xml:space="preserve">, на методику </w:t>
      </w:r>
      <w:proofErr w:type="spellStart"/>
      <w:r w:rsidRPr="00D3509F">
        <w:rPr>
          <w:color w:val="000000"/>
        </w:rPr>
        <w:t>истислаха</w:t>
      </w:r>
      <w:proofErr w:type="spellEnd"/>
      <w:r w:rsidRPr="00D3509F">
        <w:rPr>
          <w:color w:val="000000"/>
        </w:rPr>
        <w:t xml:space="preserve"> (критики хадисов), но из всех остальных методов предпочитает </w:t>
      </w:r>
      <w:proofErr w:type="spellStart"/>
      <w:r w:rsidRPr="00D3509F">
        <w:rPr>
          <w:color w:val="000000"/>
        </w:rPr>
        <w:t>иджму</w:t>
      </w:r>
      <w:proofErr w:type="spellEnd"/>
      <w:r w:rsidRPr="00D3509F">
        <w:rPr>
          <w:color w:val="000000"/>
        </w:rPr>
        <w:t xml:space="preserve"> (согласованное мнение) и рай. </w:t>
      </w:r>
      <w:proofErr w:type="spellStart"/>
      <w:r w:rsidRPr="00D3509F">
        <w:rPr>
          <w:color w:val="000000"/>
        </w:rPr>
        <w:t>Маликиты</w:t>
      </w:r>
      <w:proofErr w:type="spellEnd"/>
      <w:r w:rsidRPr="00D3509F">
        <w:rPr>
          <w:color w:val="000000"/>
        </w:rPr>
        <w:t xml:space="preserve">, как школа исламского права, близки </w:t>
      </w:r>
      <w:proofErr w:type="spellStart"/>
      <w:r w:rsidRPr="00D3509F">
        <w:rPr>
          <w:color w:val="000000"/>
        </w:rPr>
        <w:t>ханифитам</w:t>
      </w:r>
      <w:proofErr w:type="spellEnd"/>
      <w:r w:rsidRPr="00D3509F">
        <w:rPr>
          <w:color w:val="000000"/>
        </w:rPr>
        <w:t xml:space="preserve">, но более строги и нетерпимы, менее склонны доверять спекулятивным суждениям (не случайно метод рая у них на последнем месте, а методом </w:t>
      </w:r>
      <w:proofErr w:type="spellStart"/>
      <w:r w:rsidRPr="00D3509F">
        <w:rPr>
          <w:color w:val="000000"/>
        </w:rPr>
        <w:t>кыяса</w:t>
      </w:r>
      <w:proofErr w:type="spellEnd"/>
      <w:r w:rsidRPr="00D3509F">
        <w:rPr>
          <w:color w:val="000000"/>
        </w:rPr>
        <w:t xml:space="preserve"> они почти не пользуются). </w:t>
      </w:r>
      <w:proofErr w:type="spellStart"/>
      <w:r w:rsidRPr="00D3509F">
        <w:rPr>
          <w:color w:val="000000"/>
        </w:rPr>
        <w:t>Маликитский</w:t>
      </w:r>
      <w:proofErr w:type="spellEnd"/>
      <w:r w:rsidRPr="00D3509F">
        <w:rPr>
          <w:color w:val="000000"/>
        </w:rPr>
        <w:t xml:space="preserve"> </w:t>
      </w:r>
      <w:proofErr w:type="spellStart"/>
      <w:r w:rsidRPr="00D3509F">
        <w:rPr>
          <w:color w:val="000000"/>
        </w:rPr>
        <w:t>мазхаб</w:t>
      </w:r>
      <w:proofErr w:type="spellEnd"/>
      <w:r w:rsidRPr="00D3509F">
        <w:rPr>
          <w:color w:val="000000"/>
        </w:rPr>
        <w:t xml:space="preserve"> распространен прежде всего в странах Магриба и вообще среди африканских мусульман, </w:t>
      </w:r>
      <w:proofErr w:type="gramStart"/>
      <w:r w:rsidRPr="00D3509F">
        <w:rPr>
          <w:color w:val="000000"/>
        </w:rPr>
        <w:t>например</w:t>
      </w:r>
      <w:proofErr w:type="gramEnd"/>
      <w:r w:rsidRPr="00D3509F">
        <w:rPr>
          <w:color w:val="000000"/>
        </w:rPr>
        <w:t xml:space="preserve"> в Судане.</w:t>
      </w:r>
    </w:p>
    <w:p w:rsidR="00D3509F" w:rsidRPr="00D3509F" w:rsidRDefault="00D3509F" w:rsidP="00D3509F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D3509F">
        <w:rPr>
          <w:color w:val="000000"/>
        </w:rPr>
        <w:t xml:space="preserve">Система </w:t>
      </w:r>
      <w:proofErr w:type="spellStart"/>
      <w:r w:rsidRPr="00D3509F">
        <w:rPr>
          <w:color w:val="000000"/>
        </w:rPr>
        <w:t>Аш</w:t>
      </w:r>
      <w:r w:rsidRPr="00D3509F">
        <w:rPr>
          <w:color w:val="000000"/>
        </w:rPr>
        <w:noBreakHyphen/>
        <w:t>Шафии</w:t>
      </w:r>
      <w:proofErr w:type="spellEnd"/>
      <w:r w:rsidRPr="00D3509F">
        <w:rPr>
          <w:color w:val="000000"/>
        </w:rPr>
        <w:t xml:space="preserve"> (ум. в 820 г.), </w:t>
      </w:r>
      <w:proofErr w:type="spellStart"/>
      <w:r w:rsidRPr="00D3509F">
        <w:rPr>
          <w:i/>
          <w:iCs/>
          <w:color w:val="000000"/>
        </w:rPr>
        <w:t>шафиизм</w:t>
      </w:r>
      <w:proofErr w:type="spellEnd"/>
      <w:r w:rsidRPr="00D3509F">
        <w:rPr>
          <w:i/>
          <w:iCs/>
          <w:color w:val="000000"/>
        </w:rPr>
        <w:t>,</w:t>
      </w:r>
      <w:r w:rsidRPr="00D3509F">
        <w:rPr>
          <w:color w:val="000000"/>
        </w:rPr>
        <w:t xml:space="preserve"> признает в виде основ исламского права Коран и Сунну, использует </w:t>
      </w:r>
      <w:proofErr w:type="spellStart"/>
      <w:r w:rsidRPr="00D3509F">
        <w:rPr>
          <w:color w:val="000000"/>
        </w:rPr>
        <w:t>иджму</w:t>
      </w:r>
      <w:proofErr w:type="spellEnd"/>
      <w:r w:rsidRPr="00D3509F">
        <w:rPr>
          <w:color w:val="000000"/>
        </w:rPr>
        <w:t xml:space="preserve"> и </w:t>
      </w:r>
      <w:proofErr w:type="spellStart"/>
      <w:r w:rsidRPr="00D3509F">
        <w:rPr>
          <w:color w:val="000000"/>
        </w:rPr>
        <w:t>кыяс</w:t>
      </w:r>
      <w:proofErr w:type="spellEnd"/>
      <w:r w:rsidRPr="00D3509F">
        <w:rPr>
          <w:color w:val="000000"/>
        </w:rPr>
        <w:t xml:space="preserve">, выступает против рая, </w:t>
      </w:r>
      <w:proofErr w:type="spellStart"/>
      <w:r w:rsidRPr="00D3509F">
        <w:rPr>
          <w:color w:val="000000"/>
        </w:rPr>
        <w:t>истислаха</w:t>
      </w:r>
      <w:proofErr w:type="spellEnd"/>
      <w:r w:rsidRPr="00D3509F">
        <w:rPr>
          <w:color w:val="000000"/>
        </w:rPr>
        <w:t xml:space="preserve"> (</w:t>
      </w:r>
      <w:proofErr w:type="spellStart"/>
      <w:r w:rsidRPr="00D3509F">
        <w:rPr>
          <w:color w:val="000000"/>
        </w:rPr>
        <w:t>истихсана</w:t>
      </w:r>
      <w:proofErr w:type="spellEnd"/>
      <w:r w:rsidRPr="00D3509F">
        <w:rPr>
          <w:color w:val="000000"/>
        </w:rPr>
        <w:t xml:space="preserve">). </w:t>
      </w:r>
      <w:proofErr w:type="spellStart"/>
      <w:r w:rsidRPr="00D3509F">
        <w:rPr>
          <w:color w:val="000000"/>
        </w:rPr>
        <w:t>Шафииты</w:t>
      </w:r>
      <w:proofErr w:type="spellEnd"/>
      <w:r w:rsidRPr="00D3509F">
        <w:rPr>
          <w:color w:val="000000"/>
        </w:rPr>
        <w:t xml:space="preserve"> в сфере своих правовых норм значительно жестче </w:t>
      </w:r>
      <w:proofErr w:type="spellStart"/>
      <w:r w:rsidRPr="00D3509F">
        <w:rPr>
          <w:color w:val="000000"/>
        </w:rPr>
        <w:t>ханифитов</w:t>
      </w:r>
      <w:proofErr w:type="spellEnd"/>
      <w:r w:rsidRPr="00D3509F">
        <w:rPr>
          <w:color w:val="000000"/>
        </w:rPr>
        <w:t xml:space="preserve"> и ближе к </w:t>
      </w:r>
      <w:proofErr w:type="spellStart"/>
      <w:r w:rsidRPr="00D3509F">
        <w:rPr>
          <w:color w:val="000000"/>
        </w:rPr>
        <w:t>маликитам</w:t>
      </w:r>
      <w:proofErr w:type="spellEnd"/>
      <w:r w:rsidRPr="00D3509F">
        <w:rPr>
          <w:color w:val="000000"/>
        </w:rPr>
        <w:t xml:space="preserve"> с их строгостью </w:t>
      </w:r>
      <w:r w:rsidRPr="00D3509F">
        <w:rPr>
          <w:i/>
          <w:iCs/>
          <w:color w:val="000000"/>
        </w:rPr>
        <w:t>v.</w:t>
      </w:r>
      <w:r w:rsidRPr="00D3509F">
        <w:rPr>
          <w:color w:val="000000"/>
        </w:rPr>
        <w:t xml:space="preserve"> нетерпимостью по </w:t>
      </w:r>
      <w:proofErr w:type="spellStart"/>
      <w:r w:rsidRPr="00D3509F">
        <w:rPr>
          <w:color w:val="000000"/>
        </w:rPr>
        <w:t>отношениюж</w:t>
      </w:r>
      <w:proofErr w:type="spellEnd"/>
      <w:r w:rsidRPr="00D3509F">
        <w:rPr>
          <w:color w:val="000000"/>
        </w:rPr>
        <w:t xml:space="preserve"> спекуляциям. Распространена эта система в Сирии, частичной Египте и восточной Африке, в Пакистане и Индонезии.</w:t>
      </w:r>
    </w:p>
    <w:p w:rsidR="00D3509F" w:rsidRPr="00D3509F" w:rsidRDefault="00D3509F" w:rsidP="00D3509F">
      <w:pPr>
        <w:pStyle w:val="a3"/>
        <w:spacing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D3509F">
        <w:rPr>
          <w:color w:val="000000"/>
        </w:rPr>
        <w:t xml:space="preserve">Система </w:t>
      </w:r>
      <w:proofErr w:type="gramStart"/>
      <w:r w:rsidRPr="00D3509F">
        <w:rPr>
          <w:color w:val="000000"/>
        </w:rPr>
        <w:t>Ибн</w:t>
      </w:r>
      <w:proofErr w:type="gramEnd"/>
      <w:r w:rsidRPr="00D3509F">
        <w:rPr>
          <w:color w:val="000000"/>
        </w:rPr>
        <w:noBreakHyphen/>
      </w:r>
      <w:proofErr w:type="spellStart"/>
      <w:r w:rsidRPr="00D3509F">
        <w:rPr>
          <w:color w:val="000000"/>
        </w:rPr>
        <w:t>Ханбала</w:t>
      </w:r>
      <w:proofErr w:type="spellEnd"/>
      <w:r w:rsidRPr="00D3509F">
        <w:rPr>
          <w:color w:val="000000"/>
        </w:rPr>
        <w:t xml:space="preserve"> (ум. в 855 г.), </w:t>
      </w:r>
      <w:proofErr w:type="spellStart"/>
      <w:r w:rsidRPr="00D3509F">
        <w:rPr>
          <w:i/>
          <w:iCs/>
          <w:color w:val="000000"/>
        </w:rPr>
        <w:t>ханбализм</w:t>
      </w:r>
      <w:proofErr w:type="spellEnd"/>
      <w:r w:rsidRPr="00D3509F">
        <w:rPr>
          <w:i/>
          <w:iCs/>
          <w:color w:val="000000"/>
        </w:rPr>
        <w:t>,</w:t>
      </w:r>
      <w:r w:rsidRPr="00D3509F">
        <w:rPr>
          <w:color w:val="000000"/>
        </w:rPr>
        <w:t xml:space="preserve"> опирается в основном на хадисы и лишь ограниченно использует методы рая, </w:t>
      </w:r>
      <w:proofErr w:type="spellStart"/>
      <w:r w:rsidRPr="00D3509F">
        <w:rPr>
          <w:color w:val="000000"/>
        </w:rPr>
        <w:t>иджмы</w:t>
      </w:r>
      <w:proofErr w:type="spellEnd"/>
      <w:r w:rsidRPr="00D3509F">
        <w:rPr>
          <w:color w:val="000000"/>
        </w:rPr>
        <w:t xml:space="preserve"> и </w:t>
      </w:r>
      <w:proofErr w:type="spellStart"/>
      <w:r w:rsidRPr="00D3509F">
        <w:rPr>
          <w:color w:val="000000"/>
        </w:rPr>
        <w:t>кыяса</w:t>
      </w:r>
      <w:proofErr w:type="spellEnd"/>
      <w:r w:rsidRPr="00D3509F">
        <w:rPr>
          <w:color w:val="000000"/>
        </w:rPr>
        <w:t>. Эта школа отличается нетерпимостью и начетничеством, имеет наименьшее распространение, причем преимущественно в сравнительно отсталых странах ислама, прежде всего в Аравии.</w:t>
      </w:r>
    </w:p>
    <w:p w:rsidR="00D3509F" w:rsidRPr="00D3509F" w:rsidRDefault="00D3509F" w:rsidP="00D3509F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D3509F">
        <w:rPr>
          <w:color w:val="000000"/>
        </w:rPr>
        <w:t xml:space="preserve">Все четыре </w:t>
      </w:r>
      <w:proofErr w:type="spellStart"/>
      <w:r w:rsidRPr="00D3509F">
        <w:rPr>
          <w:color w:val="000000"/>
        </w:rPr>
        <w:t>мазхаба</w:t>
      </w:r>
      <w:proofErr w:type="spellEnd"/>
      <w:r w:rsidRPr="00D3509F">
        <w:rPr>
          <w:color w:val="000000"/>
        </w:rPr>
        <w:t>, хотя и спорят друг с другом по различным вопросам права, методики и обрядности, практически мирно сосуществуют, нередко в рамках одного и того же государства. Возглавляется каждая из этих школ группой высокообразованных (в исламском смысле, т. е. знающих ислам) специалистов</w:t>
      </w:r>
      <w:r w:rsidRPr="00D3509F">
        <w:rPr>
          <w:color w:val="000000"/>
        </w:rPr>
        <w:noBreakHyphen/>
        <w:t>законоведов и богословов</w:t>
      </w:r>
      <w:r w:rsidRPr="00D3509F">
        <w:rPr>
          <w:color w:val="000000"/>
        </w:rPr>
        <w:noBreakHyphen/>
      </w:r>
      <w:proofErr w:type="spellStart"/>
      <w:r w:rsidRPr="00D3509F">
        <w:rPr>
          <w:color w:val="000000"/>
        </w:rPr>
        <w:t>муджтахидов</w:t>
      </w:r>
      <w:proofErr w:type="spellEnd"/>
      <w:r w:rsidRPr="00D3509F">
        <w:rPr>
          <w:color w:val="000000"/>
        </w:rPr>
        <w:t xml:space="preserve"> (</w:t>
      </w:r>
      <w:proofErr w:type="spellStart"/>
      <w:r w:rsidRPr="00D3509F">
        <w:rPr>
          <w:color w:val="000000"/>
        </w:rPr>
        <w:t>мутакаллимов</w:t>
      </w:r>
      <w:proofErr w:type="spellEnd"/>
      <w:r w:rsidRPr="00D3509F">
        <w:rPr>
          <w:color w:val="000000"/>
        </w:rPr>
        <w:t xml:space="preserve">), определяющих позиции каждой из этих систем. Всем четырем школам сунниты придают равное значение; каждый имеет право менять свои симпатии в пользу того или иного </w:t>
      </w:r>
      <w:proofErr w:type="spellStart"/>
      <w:r w:rsidRPr="00D3509F">
        <w:rPr>
          <w:color w:val="000000"/>
        </w:rPr>
        <w:t>мазхаба</w:t>
      </w:r>
      <w:proofErr w:type="spellEnd"/>
      <w:r w:rsidRPr="00D3509F">
        <w:rPr>
          <w:color w:val="000000"/>
        </w:rPr>
        <w:t>, пользоваться учебными пособиями различных школ.</w:t>
      </w:r>
    </w:p>
    <w:p w:rsidR="00D3509F" w:rsidRPr="00D3509F" w:rsidRDefault="00D3509F" w:rsidP="00D3509F">
      <w:pPr>
        <w:pStyle w:val="a3"/>
        <w:spacing w:before="0" w:beforeAutospacing="0"/>
        <w:jc w:val="both"/>
        <w:rPr>
          <w:color w:val="000000"/>
        </w:rPr>
      </w:pPr>
      <w:r>
        <w:rPr>
          <w:b/>
          <w:bCs/>
          <w:color w:val="000000"/>
        </w:rPr>
        <w:tab/>
      </w:r>
      <w:r w:rsidRPr="00D3509F">
        <w:rPr>
          <w:b/>
          <w:bCs/>
          <w:color w:val="000000"/>
        </w:rPr>
        <w:t>Шариат</w:t>
      </w:r>
    </w:p>
    <w:p w:rsidR="00D3509F" w:rsidRPr="00D3509F" w:rsidRDefault="00D3509F" w:rsidP="00D3509F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ab/>
      </w:r>
      <w:r w:rsidRPr="00D3509F">
        <w:rPr>
          <w:color w:val="000000"/>
        </w:rPr>
        <w:t xml:space="preserve">Все четыре школы включены в сводную систему мусульманского права – шариат. Мусульманское право едино: оно не подразделяется на гражданское, уголовное, религиозное. Тесно связанное с религией и определяемое в своих основных принципах авторитетами калама, это право – прежде всего, религиозное, учитывающее и нормы обычного права, адата. Шариат («намеченный», «предписанный» путь) опирается на Коран и Сунну, а также на сборники </w:t>
      </w:r>
      <w:proofErr w:type="spellStart"/>
      <w:r w:rsidRPr="00D3509F">
        <w:rPr>
          <w:color w:val="000000"/>
        </w:rPr>
        <w:t>фикха</w:t>
      </w:r>
      <w:proofErr w:type="spellEnd"/>
      <w:r w:rsidRPr="00D3509F">
        <w:rPr>
          <w:color w:val="000000"/>
        </w:rPr>
        <w:t>, своего рода своды и кодексы исламского законодательства, выработанные перечисленными выше школами и имеющие реальный правовой авторитет, силу закона.</w:t>
      </w:r>
    </w:p>
    <w:p w:rsidR="00D3509F" w:rsidRPr="00D3509F" w:rsidRDefault="00D3509F" w:rsidP="00D3509F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D3509F">
        <w:rPr>
          <w:color w:val="000000"/>
        </w:rPr>
        <w:t>Основная тенденция шариата – оценка различных жизненных обстоятельств с точки зрения религии. Законы шариата –это правовая систематизация поведения правоверных, их обязательств перед людьми, обществом и Аллахом. Авторизованный догматическими нормами ислама кодекс шариата подразделяется на три основные части: </w:t>
      </w:r>
      <w:proofErr w:type="spellStart"/>
      <w:r w:rsidRPr="00D3509F">
        <w:rPr>
          <w:i/>
          <w:iCs/>
          <w:color w:val="000000"/>
        </w:rPr>
        <w:t>ибадат</w:t>
      </w:r>
      <w:proofErr w:type="spellEnd"/>
      <w:r w:rsidRPr="00D3509F">
        <w:rPr>
          <w:color w:val="000000"/>
        </w:rPr>
        <w:t> (обязанности, относящиеся к религиозному культу), </w:t>
      </w:r>
      <w:proofErr w:type="spellStart"/>
      <w:r w:rsidRPr="00D3509F">
        <w:rPr>
          <w:i/>
          <w:iCs/>
          <w:color w:val="000000"/>
        </w:rPr>
        <w:t>муамалят</w:t>
      </w:r>
      <w:proofErr w:type="spellEnd"/>
      <w:r w:rsidRPr="00D3509F">
        <w:rPr>
          <w:color w:val="000000"/>
        </w:rPr>
        <w:t> (чисто юридические нормы) и </w:t>
      </w:r>
      <w:proofErr w:type="spellStart"/>
      <w:r w:rsidRPr="00D3509F">
        <w:rPr>
          <w:i/>
          <w:iCs/>
          <w:color w:val="000000"/>
        </w:rPr>
        <w:t>укубат</w:t>
      </w:r>
      <w:proofErr w:type="spellEnd"/>
      <w:r w:rsidRPr="00D3509F">
        <w:rPr>
          <w:color w:val="000000"/>
        </w:rPr>
        <w:t> (система наказаний).</w:t>
      </w:r>
    </w:p>
    <w:p w:rsidR="00D3509F" w:rsidRPr="00D3509F" w:rsidRDefault="00D3509F" w:rsidP="00D3509F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D3509F">
        <w:rPr>
          <w:color w:val="000000"/>
        </w:rPr>
        <w:t xml:space="preserve">Предписания шариата многочисленны и строги. Они определяют нормы взаимоотношений человека в семье и обществе, регламентируют почти все детали его быта и вместе с обычным правом (адатом) создают густую сеть обязательных предписаний, что само по себе уже гарантирует </w:t>
      </w:r>
      <w:proofErr w:type="spellStart"/>
      <w:r w:rsidRPr="00D3509F">
        <w:rPr>
          <w:color w:val="000000"/>
        </w:rPr>
        <w:t>конформность</w:t>
      </w:r>
      <w:proofErr w:type="spellEnd"/>
      <w:r w:rsidRPr="00D3509F">
        <w:rPr>
          <w:color w:val="000000"/>
        </w:rPr>
        <w:t xml:space="preserve"> поведения правоверных. Разумеется, не все и не всегда соблюдают нормы шариата. В мусульманском мире, как и повсюду, случаются нарушения и преступления. Однако строгость уголовного законодательства и особенно наказаний шариата не только впечатляет, но оказывает заметное дисциплинирующее воздействие. </w:t>
      </w:r>
      <w:r>
        <w:rPr>
          <w:color w:val="000000"/>
        </w:rPr>
        <w:tab/>
      </w:r>
      <w:r w:rsidRPr="00D3509F">
        <w:rPr>
          <w:color w:val="000000"/>
        </w:rPr>
        <w:t xml:space="preserve">Так, например, суровые наказания в случае хищений чужой собственности, даже мелкого воровства, достаточно эффективно способствуют как снижению уровня преступности, так и неприкосновенности собственности. Менее жестоко преследуется убийство – здесь многое решалось по законам адата с его традиционными институтами кровной мести (как сказано в Коране, правоверным разрешается мстить, но в пределах эквивалента: свободного за свободного, раба за раба, женщину за женщину). Решительно осуждается самоубийство. В Коране среди прочих есть специальный </w:t>
      </w:r>
      <w:proofErr w:type="spellStart"/>
      <w:r w:rsidRPr="00D3509F">
        <w:rPr>
          <w:color w:val="000000"/>
        </w:rPr>
        <w:t>аят</w:t>
      </w:r>
      <w:proofErr w:type="spellEnd"/>
      <w:r w:rsidRPr="00D3509F">
        <w:rPr>
          <w:color w:val="000000"/>
        </w:rPr>
        <w:t>, запрещающий убивать новорожденных девочек (обычай, существовавший в Аравии до ислама).</w:t>
      </w:r>
    </w:p>
    <w:p w:rsidR="00D3509F" w:rsidRPr="00D3509F" w:rsidRDefault="00D3509F" w:rsidP="00D3509F">
      <w:pPr>
        <w:pStyle w:val="a3"/>
        <w:spacing w:before="0" w:beforeAutospacing="0"/>
        <w:jc w:val="both"/>
        <w:rPr>
          <w:color w:val="000000"/>
        </w:rPr>
      </w:pPr>
      <w:r>
        <w:rPr>
          <w:color w:val="000000"/>
        </w:rPr>
        <w:tab/>
      </w:r>
      <w:r w:rsidRPr="00D3509F">
        <w:rPr>
          <w:color w:val="000000"/>
        </w:rPr>
        <w:t>Шариат регулирует гражданские взаимоотношения, порядок решения имущественных споров, взысканий и наказаний в случае нарушения религиозных предписаний, нормы поведения, отправления культа, ритуала и т. п. Согласно шариату, действия людей подразделяются на пять основных категорий: обязательные, за невыполнение которых следует наказание; рекомендуемые (т. е. желательные, но не обязательные); дозволенные; предосудительные (т. е. осуждаемые, но не наказуемые) и запрещенные, наказуемые. Очень важно при оценке того или иного действия намерение: подчас совершенное действие оценивают не столько с точки зрения свершившегося факта, сколько с точки зрения цели, намерения человека.</w:t>
      </w:r>
    </w:p>
    <w:p w:rsidR="00D3509F" w:rsidRPr="00D3509F" w:rsidRDefault="00D3509F" w:rsidP="00D3509F">
      <w:pPr>
        <w:jc w:val="center"/>
        <w:rPr>
          <w:rFonts w:ascii="Times New Roman" w:hAnsi="Times New Roman" w:cs="Times New Roman"/>
          <w:b/>
          <w:sz w:val="24"/>
        </w:rPr>
      </w:pPr>
    </w:p>
    <w:sectPr w:rsidR="00D3509F" w:rsidRPr="00D35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3AA"/>
    <w:rsid w:val="00D3509F"/>
    <w:rsid w:val="00E103AA"/>
    <w:rsid w:val="00E3762E"/>
    <w:rsid w:val="00EA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80937-E0EC-4FA2-BE17-CEA03C9C9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5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4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982</Words>
  <Characters>5599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2026-03-31T12:54:00Z</dcterms:created>
  <dcterms:modified xsi:type="dcterms:W3CDTF">2026-03-31T12:59:00Z</dcterms:modified>
</cp:coreProperties>
</file>