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21D" w:rsidRPr="00BC521D" w:rsidRDefault="00BC521D" w:rsidP="00BC521D">
      <w:pPr>
        <w:jc w:val="center"/>
        <w:rPr>
          <w:rFonts w:ascii="Times New Roman" w:hAnsi="Times New Roman" w:cs="Times New Roman"/>
          <w:b/>
          <w:sz w:val="24"/>
          <w:szCs w:val="24"/>
        </w:rPr>
      </w:pPr>
      <w:bookmarkStart w:id="0" w:name="_GoBack"/>
      <w:r w:rsidRPr="00BC521D">
        <w:rPr>
          <w:rFonts w:ascii="Times New Roman" w:hAnsi="Times New Roman" w:cs="Times New Roman"/>
          <w:b/>
          <w:sz w:val="24"/>
          <w:szCs w:val="24"/>
        </w:rPr>
        <w:t xml:space="preserve">Лекция 6. </w:t>
      </w:r>
      <w:hyperlink r:id="rId4" w:history="1">
        <w:r w:rsidRPr="00BC521D">
          <w:rPr>
            <w:rStyle w:val="a3"/>
            <w:rFonts w:ascii="Times New Roman" w:hAnsi="Times New Roman" w:cs="Times New Roman"/>
            <w:b/>
            <w:color w:val="auto"/>
            <w:sz w:val="24"/>
            <w:szCs w:val="24"/>
            <w:u w:val="none"/>
            <w:shd w:val="clear" w:color="auto" w:fill="FFFFFF"/>
          </w:rPr>
          <w:t>Рассмотрение дел о соответствии Конституции Российской Федерации не вступивших в силу международных договоров Российской Федерации</w:t>
        </w:r>
      </w:hyperlink>
    </w:p>
    <w:bookmarkEnd w:id="0"/>
    <w:p w:rsidR="00BC521D" w:rsidRPr="00BC521D" w:rsidRDefault="00BC521D" w:rsidP="00BC521D">
      <w:pPr>
        <w:spacing w:after="0"/>
        <w:ind w:firstLine="709"/>
        <w:jc w:val="both"/>
        <w:rPr>
          <w:rFonts w:ascii="Times New Roman" w:hAnsi="Times New Roman" w:cs="Times New Roman"/>
          <w:sz w:val="24"/>
          <w:szCs w:val="24"/>
        </w:rPr>
      </w:pPr>
    </w:p>
    <w:p w:rsidR="00BC521D" w:rsidRPr="00BC521D" w:rsidRDefault="00BC521D" w:rsidP="00BC521D">
      <w:pPr>
        <w:pStyle w:val="a4"/>
        <w:shd w:val="clear" w:color="auto" w:fill="FFFFFF"/>
        <w:spacing w:before="0" w:beforeAutospacing="0" w:after="0" w:afterAutospacing="0"/>
        <w:ind w:firstLine="709"/>
        <w:jc w:val="both"/>
      </w:pPr>
      <w:r w:rsidRPr="00BC521D">
        <w:t>Правом на обращение в Конституционный Суд Российской Федерации с запросом о проверке конституционности не вступившего в силу международного договора Российской Федерации обладают Президент Российской Федерации, Совет Федерации, Государственная Дума, одна пятая сенаторов Российской Федерации или депутатов Государственной Думы, Правительство Российской Федерации, Верховный Суд Российской Федерации, органы законодательной и исполнительной власти субъектов Российской Федерации.</w:t>
      </w:r>
    </w:p>
    <w:p w:rsidR="00BC521D" w:rsidRPr="00BC521D" w:rsidRDefault="00BC521D" w:rsidP="00BC521D">
      <w:pPr>
        <w:pStyle w:val="a4"/>
        <w:shd w:val="clear" w:color="auto" w:fill="FFFFFF"/>
        <w:spacing w:before="0" w:beforeAutospacing="0" w:after="0" w:afterAutospacing="0"/>
        <w:ind w:firstLine="709"/>
        <w:jc w:val="both"/>
      </w:pPr>
      <w:r w:rsidRPr="00BC521D">
        <w:t>Президент Российской Федерации направляет в Конституционный Суд Российской Федерации запрос о проверке конституционности не вступившего в силу международного договора о принятии в Российскую Федерацию нового субъекта.</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Запрос о проверке конституционности не вступившего в силу международного договора Российской Федерации допустим, если: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1) упоминаемый в запросе международный договор Российской Федерации подлежит согласно </w:t>
      </w:r>
      <w:hyperlink r:id="rId5" w:history="1">
        <w:r w:rsidRPr="00BC521D">
          <w:rPr>
            <w:rFonts w:ascii="Times New Roman" w:eastAsia="Times New Roman" w:hAnsi="Times New Roman" w:cs="Times New Roman"/>
            <w:sz w:val="24"/>
            <w:szCs w:val="24"/>
            <w:lang w:eastAsia="ru-RU"/>
          </w:rPr>
          <w:t>Конституции</w:t>
        </w:r>
      </w:hyperlink>
      <w:r w:rsidRPr="00BC521D">
        <w:rPr>
          <w:rFonts w:ascii="Times New Roman" w:eastAsia="Times New Roman" w:hAnsi="Times New Roman" w:cs="Times New Roman"/>
          <w:sz w:val="24"/>
          <w:szCs w:val="24"/>
          <w:lang w:eastAsia="ru-RU"/>
        </w:rPr>
        <w:t> Российской Федерации и федеральному </w:t>
      </w:r>
      <w:hyperlink r:id="rId6" w:anchor="dst100095" w:history="1">
        <w:r w:rsidRPr="00BC521D">
          <w:rPr>
            <w:rFonts w:ascii="Times New Roman" w:eastAsia="Times New Roman" w:hAnsi="Times New Roman" w:cs="Times New Roman"/>
            <w:sz w:val="24"/>
            <w:szCs w:val="24"/>
            <w:lang w:eastAsia="ru-RU"/>
          </w:rPr>
          <w:t>закону</w:t>
        </w:r>
      </w:hyperlink>
      <w:r w:rsidRPr="00BC521D">
        <w:rPr>
          <w:rFonts w:ascii="Times New Roman" w:eastAsia="Times New Roman" w:hAnsi="Times New Roman" w:cs="Times New Roman"/>
          <w:sz w:val="24"/>
          <w:szCs w:val="24"/>
          <w:lang w:eastAsia="ru-RU"/>
        </w:rPr>
        <w:t> ратификации Государственной Думой или утверждению иным федеральным органом государственной власти;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2) заявитель считает не вступивший в силу международный договор Российской Федерации не подлежащим введению в действие и применению в Российской Федерации из-за его несоответствия </w:t>
      </w:r>
      <w:hyperlink r:id="rId7" w:history="1">
        <w:r w:rsidRPr="00BC521D">
          <w:rPr>
            <w:rFonts w:ascii="Times New Roman" w:eastAsia="Times New Roman" w:hAnsi="Times New Roman" w:cs="Times New Roman"/>
            <w:sz w:val="24"/>
            <w:szCs w:val="24"/>
            <w:lang w:eastAsia="ru-RU"/>
          </w:rPr>
          <w:t>Конституции</w:t>
        </w:r>
      </w:hyperlink>
      <w:r w:rsidRPr="00BC521D">
        <w:rPr>
          <w:rFonts w:ascii="Times New Roman" w:eastAsia="Times New Roman" w:hAnsi="Times New Roman" w:cs="Times New Roman"/>
          <w:sz w:val="24"/>
          <w:szCs w:val="24"/>
          <w:lang w:eastAsia="ru-RU"/>
        </w:rPr>
        <w:t> Российской Федерации.</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Запрос о проверке конституционности не вступившего в силу международного договора о принятии в Российскую Федерацию нового субъекта допустим, если при направлении этого запроса были соблюдены требования Федерального конституционного </w:t>
      </w:r>
      <w:hyperlink r:id="rId8" w:history="1">
        <w:r w:rsidRPr="00BC521D">
          <w:rPr>
            <w:rFonts w:ascii="Times New Roman" w:eastAsia="Times New Roman" w:hAnsi="Times New Roman" w:cs="Times New Roman"/>
            <w:sz w:val="24"/>
            <w:szCs w:val="24"/>
            <w:lang w:eastAsia="ru-RU"/>
          </w:rPr>
          <w:t>закона</w:t>
        </w:r>
      </w:hyperlink>
      <w:r w:rsidRPr="00BC521D">
        <w:rPr>
          <w:rFonts w:ascii="Times New Roman" w:eastAsia="Times New Roman" w:hAnsi="Times New Roman" w:cs="Times New Roman"/>
          <w:sz w:val="24"/>
          <w:szCs w:val="24"/>
          <w:lang w:eastAsia="ru-RU"/>
        </w:rPr>
        <w:t> от 17 декабря 2001 года N 6-ФКЗ "О порядке принятия в Российскую Федерацию и образования в ее составе нового субъекта Российской Федерации".</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По итогам рассмотрения дела о проверке конституционности не вступившего в силу международного договора Российской Федерации Конституционный Суд Российской Федерации принимает одно из следующих постановлений:</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1) о признании не вступившего в силу международного договора Российской Федерации либо отдельных его положений соответствующими </w:t>
      </w:r>
      <w:hyperlink r:id="rId9" w:history="1">
        <w:r w:rsidRPr="00BC521D">
          <w:rPr>
            <w:rFonts w:ascii="Times New Roman" w:eastAsia="Times New Roman" w:hAnsi="Times New Roman" w:cs="Times New Roman"/>
            <w:sz w:val="24"/>
            <w:szCs w:val="24"/>
            <w:lang w:eastAsia="ru-RU"/>
          </w:rPr>
          <w:t>Конституции</w:t>
        </w:r>
      </w:hyperlink>
      <w:r w:rsidRPr="00BC521D">
        <w:rPr>
          <w:rFonts w:ascii="Times New Roman" w:eastAsia="Times New Roman" w:hAnsi="Times New Roman" w:cs="Times New Roman"/>
          <w:sz w:val="24"/>
          <w:szCs w:val="24"/>
          <w:lang w:eastAsia="ru-RU"/>
        </w:rPr>
        <w:t> Российской Федерации;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2) о признании не вступившего в силу международного договора Российской Федерации либо отдельных его положений не соответствующими </w:t>
      </w:r>
      <w:hyperlink r:id="rId10" w:history="1">
        <w:r w:rsidRPr="00BC521D">
          <w:rPr>
            <w:rFonts w:ascii="Times New Roman" w:eastAsia="Times New Roman" w:hAnsi="Times New Roman" w:cs="Times New Roman"/>
            <w:sz w:val="24"/>
            <w:szCs w:val="24"/>
            <w:lang w:eastAsia="ru-RU"/>
          </w:rPr>
          <w:t>Конституции</w:t>
        </w:r>
      </w:hyperlink>
      <w:r w:rsidRPr="00BC521D">
        <w:rPr>
          <w:rFonts w:ascii="Times New Roman" w:eastAsia="Times New Roman" w:hAnsi="Times New Roman" w:cs="Times New Roman"/>
          <w:sz w:val="24"/>
          <w:szCs w:val="24"/>
          <w:lang w:eastAsia="ru-RU"/>
        </w:rPr>
        <w:t> Российской Федерации.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С момента вступления в силу постановления Конституционного Суда Российской Федерации о признании не соответствующими </w:t>
      </w:r>
      <w:hyperlink r:id="rId11" w:history="1">
        <w:r w:rsidRPr="00BC521D">
          <w:rPr>
            <w:rFonts w:ascii="Times New Roman" w:eastAsia="Times New Roman" w:hAnsi="Times New Roman" w:cs="Times New Roman"/>
            <w:sz w:val="24"/>
            <w:szCs w:val="24"/>
            <w:lang w:eastAsia="ru-RU"/>
          </w:rPr>
          <w:t>Конституции</w:t>
        </w:r>
      </w:hyperlink>
      <w:r w:rsidRPr="00BC521D">
        <w:rPr>
          <w:rFonts w:ascii="Times New Roman" w:eastAsia="Times New Roman" w:hAnsi="Times New Roman" w:cs="Times New Roman"/>
          <w:sz w:val="24"/>
          <w:szCs w:val="24"/>
          <w:lang w:eastAsia="ru-RU"/>
        </w:rPr>
        <w:t> Российской Федерации не вступившего в силу международного договора Российской Федерации либо отдельных его положений международный договор не подлежит введению в действие и применению, то есть не может быть ратифицирован, утвержден и не может вступить в силу для Российской Федерации иным образом.</w:t>
      </w:r>
    </w:p>
    <w:p w:rsidR="00BC521D" w:rsidRPr="00BC521D" w:rsidRDefault="00BC521D" w:rsidP="00BC521D">
      <w:pPr>
        <w:spacing w:after="0"/>
        <w:ind w:firstLine="709"/>
        <w:jc w:val="both"/>
        <w:rPr>
          <w:rFonts w:ascii="Times New Roman" w:hAnsi="Times New Roman" w:cs="Times New Roman"/>
          <w:sz w:val="24"/>
          <w:szCs w:val="24"/>
          <w:shd w:val="clear" w:color="auto" w:fill="FFFFFF"/>
        </w:rPr>
      </w:pPr>
      <w:r w:rsidRPr="00BC521D">
        <w:rPr>
          <w:rFonts w:ascii="Times New Roman" w:hAnsi="Times New Roman" w:cs="Times New Roman"/>
          <w:sz w:val="24"/>
          <w:szCs w:val="24"/>
          <w:shd w:val="clear" w:color="auto" w:fill="FFFFFF"/>
        </w:rPr>
        <w:t>Правом на обращение в Конституционный Суд Российской Федерации с ходатайством о разрешении спора о компетенции обладает любой из участвующих в споре органов государственной власти, указанных в </w:t>
      </w:r>
      <w:hyperlink r:id="rId12" w:anchor="dst100553" w:history="1">
        <w:r w:rsidRPr="00BC521D">
          <w:rPr>
            <w:rStyle w:val="a3"/>
            <w:rFonts w:ascii="Times New Roman" w:hAnsi="Times New Roman" w:cs="Times New Roman"/>
            <w:color w:val="auto"/>
            <w:sz w:val="24"/>
            <w:szCs w:val="24"/>
            <w:u w:val="none"/>
            <w:shd w:val="clear" w:color="auto" w:fill="FFFFFF"/>
          </w:rPr>
          <w:t>статье 125 (часть 3)</w:t>
        </w:r>
      </w:hyperlink>
      <w:r w:rsidRPr="00BC521D">
        <w:rPr>
          <w:rFonts w:ascii="Times New Roman" w:hAnsi="Times New Roman" w:cs="Times New Roman"/>
          <w:sz w:val="24"/>
          <w:szCs w:val="24"/>
          <w:shd w:val="clear" w:color="auto" w:fill="FFFFFF"/>
        </w:rPr>
        <w:t> Конституции Российской Федерации, а Президент Российской Федерации также в случае, предусмотренном </w:t>
      </w:r>
      <w:hyperlink r:id="rId13" w:anchor="dst100367" w:history="1">
        <w:r w:rsidRPr="00BC521D">
          <w:rPr>
            <w:rStyle w:val="a3"/>
            <w:rFonts w:ascii="Times New Roman" w:hAnsi="Times New Roman" w:cs="Times New Roman"/>
            <w:color w:val="auto"/>
            <w:sz w:val="24"/>
            <w:szCs w:val="24"/>
            <w:u w:val="none"/>
            <w:shd w:val="clear" w:color="auto" w:fill="FFFFFF"/>
          </w:rPr>
          <w:t>статьей 85 (часть 1)</w:t>
        </w:r>
      </w:hyperlink>
      <w:r w:rsidRPr="00BC521D">
        <w:rPr>
          <w:rFonts w:ascii="Times New Roman" w:hAnsi="Times New Roman" w:cs="Times New Roman"/>
          <w:sz w:val="24"/>
          <w:szCs w:val="24"/>
          <w:shd w:val="clear" w:color="auto" w:fill="FFFFFF"/>
        </w:rPr>
        <w:t> Конституции Российской Федерации.</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Ходатайство органа (органов) государственной власти допустимо, если: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1) оспариваемая компетенция определяется </w:t>
      </w:r>
      <w:hyperlink r:id="rId14" w:history="1">
        <w:r w:rsidRPr="00BC521D">
          <w:rPr>
            <w:rFonts w:ascii="Times New Roman" w:eastAsia="Times New Roman" w:hAnsi="Times New Roman" w:cs="Times New Roman"/>
            <w:sz w:val="24"/>
            <w:szCs w:val="24"/>
            <w:lang w:eastAsia="ru-RU"/>
          </w:rPr>
          <w:t>Конституцией</w:t>
        </w:r>
      </w:hyperlink>
      <w:r w:rsidRPr="00BC521D">
        <w:rPr>
          <w:rFonts w:ascii="Times New Roman" w:eastAsia="Times New Roman" w:hAnsi="Times New Roman" w:cs="Times New Roman"/>
          <w:sz w:val="24"/>
          <w:szCs w:val="24"/>
          <w:lang w:eastAsia="ru-RU"/>
        </w:rPr>
        <w:t> Российской Федерации;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2) спор не касается вопроса о подведомственности дела судам или о подсудности;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lastRenderedPageBreak/>
        <w:t>3) спор не был или не может быть разрешен иным способом;</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4) заявитель считает издание акта или совершение действия правового характера либо уклонение от издания акта или совершения такого действия нарушением установленного </w:t>
      </w:r>
      <w:hyperlink r:id="rId15" w:history="1">
        <w:r w:rsidRPr="00BC521D">
          <w:rPr>
            <w:rFonts w:ascii="Times New Roman" w:eastAsia="Times New Roman" w:hAnsi="Times New Roman" w:cs="Times New Roman"/>
            <w:sz w:val="24"/>
            <w:szCs w:val="24"/>
            <w:lang w:eastAsia="ru-RU"/>
          </w:rPr>
          <w:t>Конституцией</w:t>
        </w:r>
      </w:hyperlink>
      <w:r w:rsidRPr="00BC521D">
        <w:rPr>
          <w:rFonts w:ascii="Times New Roman" w:eastAsia="Times New Roman" w:hAnsi="Times New Roman" w:cs="Times New Roman"/>
          <w:sz w:val="24"/>
          <w:szCs w:val="24"/>
          <w:lang w:eastAsia="ru-RU"/>
        </w:rPr>
        <w:t> Российской Федерации разграничения компетенции между органами государственной власти;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5) заявитель ранее обращался к указанным в </w:t>
      </w:r>
      <w:hyperlink r:id="rId16" w:anchor="dst100553" w:history="1">
        <w:r w:rsidRPr="00BC521D">
          <w:rPr>
            <w:rFonts w:ascii="Times New Roman" w:eastAsia="Times New Roman" w:hAnsi="Times New Roman" w:cs="Times New Roman"/>
            <w:sz w:val="24"/>
            <w:szCs w:val="24"/>
            <w:lang w:eastAsia="ru-RU"/>
          </w:rPr>
          <w:t>статье 125 (часть 3)</w:t>
        </w:r>
      </w:hyperlink>
      <w:r w:rsidRPr="00BC521D">
        <w:rPr>
          <w:rFonts w:ascii="Times New Roman" w:eastAsia="Times New Roman" w:hAnsi="Times New Roman" w:cs="Times New Roman"/>
          <w:sz w:val="24"/>
          <w:szCs w:val="24"/>
          <w:lang w:eastAsia="ru-RU"/>
        </w:rPr>
        <w:t> Конституции Российской Федерации органам государственной власти с письменным заявлением о нарушении ими определенной Конституцией Российской Федерации и договорами компетенции заявителя либо об уклонении этих органов от осуществления входящей в их компетенцию обязанности;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6) в течение месяца со дня получения письменного заявления, упомянутого в </w:t>
      </w:r>
      <w:hyperlink r:id="rId17" w:anchor="dst100483" w:history="1">
        <w:r w:rsidRPr="00BC521D">
          <w:rPr>
            <w:rFonts w:ascii="Times New Roman" w:eastAsia="Times New Roman" w:hAnsi="Times New Roman" w:cs="Times New Roman"/>
            <w:sz w:val="24"/>
            <w:szCs w:val="24"/>
            <w:lang w:eastAsia="ru-RU"/>
          </w:rPr>
          <w:t>пункте 5</w:t>
        </w:r>
      </w:hyperlink>
      <w:r w:rsidRPr="00BC521D">
        <w:rPr>
          <w:rFonts w:ascii="Times New Roman" w:eastAsia="Times New Roman" w:hAnsi="Times New Roman" w:cs="Times New Roman"/>
          <w:sz w:val="24"/>
          <w:szCs w:val="24"/>
          <w:lang w:eastAsia="ru-RU"/>
        </w:rPr>
        <w:t> настоящей части, не были устранены указанные в нем нарушения;</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7) в случае обращения соответствующего органа государственной власти к Президенту Российской Федерации с просьбой об использовании согласительных процедур, предусмотренных </w:t>
      </w:r>
      <w:hyperlink r:id="rId18" w:anchor="dst100366" w:history="1">
        <w:r w:rsidRPr="00BC521D">
          <w:rPr>
            <w:rFonts w:ascii="Times New Roman" w:eastAsia="Times New Roman" w:hAnsi="Times New Roman" w:cs="Times New Roman"/>
            <w:sz w:val="24"/>
            <w:szCs w:val="24"/>
            <w:lang w:eastAsia="ru-RU"/>
          </w:rPr>
          <w:t>статьей 85</w:t>
        </w:r>
      </w:hyperlink>
      <w:r w:rsidRPr="00BC521D">
        <w:rPr>
          <w:rFonts w:ascii="Times New Roman" w:eastAsia="Times New Roman" w:hAnsi="Times New Roman" w:cs="Times New Roman"/>
          <w:sz w:val="24"/>
          <w:szCs w:val="24"/>
          <w:lang w:eastAsia="ru-RU"/>
        </w:rPr>
        <w:t> Конституции Российской Федерации, Президент Российской Федерации в течение месяца со дня обращения не использовал эти согласительные процедуры либо такие процедуры не привели к разрешению спора.</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Ходатайство Президента Российской Федерации, внесенное в порядке применения </w:t>
      </w:r>
      <w:hyperlink r:id="rId19" w:anchor="dst100367" w:history="1">
        <w:r w:rsidRPr="00BC521D">
          <w:rPr>
            <w:rFonts w:ascii="Times New Roman" w:eastAsia="Times New Roman" w:hAnsi="Times New Roman" w:cs="Times New Roman"/>
            <w:sz w:val="24"/>
            <w:szCs w:val="24"/>
            <w:lang w:eastAsia="ru-RU"/>
          </w:rPr>
          <w:t>статьи 85 (часть 1)</w:t>
        </w:r>
      </w:hyperlink>
      <w:r w:rsidRPr="00BC521D">
        <w:rPr>
          <w:rFonts w:ascii="Times New Roman" w:eastAsia="Times New Roman" w:hAnsi="Times New Roman" w:cs="Times New Roman"/>
          <w:sz w:val="24"/>
          <w:szCs w:val="24"/>
          <w:lang w:eastAsia="ru-RU"/>
        </w:rPr>
        <w:t> Конституции Российской Федерации, допустимо, если:</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1) Президент Российской Федерации использовал согласительные процедуры для разрешения разногласий между органами государственной власти;</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2) разногласия между органами государственной власти являются подведомственным Конституционному Суду Российской Федерации спором о компетенции.</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Конституционный Суд Российской Федерации рассматривает споры о компетенции исключительно с точки зрения установленных </w:t>
      </w:r>
      <w:hyperlink r:id="rId20" w:history="1">
        <w:r w:rsidRPr="00BC521D">
          <w:rPr>
            <w:rFonts w:ascii="Times New Roman" w:eastAsia="Times New Roman" w:hAnsi="Times New Roman" w:cs="Times New Roman"/>
            <w:sz w:val="24"/>
            <w:szCs w:val="24"/>
            <w:lang w:eastAsia="ru-RU"/>
          </w:rPr>
          <w:t>Конституцией</w:t>
        </w:r>
      </w:hyperlink>
      <w:r w:rsidRPr="00BC521D">
        <w:rPr>
          <w:rFonts w:ascii="Times New Roman" w:eastAsia="Times New Roman" w:hAnsi="Times New Roman" w:cs="Times New Roman"/>
          <w:sz w:val="24"/>
          <w:szCs w:val="24"/>
          <w:lang w:eastAsia="ru-RU"/>
        </w:rPr>
        <w:t> Российской Федерации разделения государственной власти на законодательную, исполнительную и судебную и разграничения компетенции между федеральными органами государственной власти, а также с точки зрения разграничения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между высшими государственными органами субъектов Российской Федерации, установленного </w:t>
      </w:r>
      <w:hyperlink r:id="rId21" w:anchor="dst100265" w:history="1">
        <w:r w:rsidRPr="00BC521D">
          <w:rPr>
            <w:rFonts w:ascii="Times New Roman" w:eastAsia="Times New Roman" w:hAnsi="Times New Roman" w:cs="Times New Roman"/>
            <w:sz w:val="24"/>
            <w:szCs w:val="24"/>
            <w:lang w:eastAsia="ru-RU"/>
          </w:rPr>
          <w:t>Конституцией</w:t>
        </w:r>
      </w:hyperlink>
      <w:r w:rsidRPr="00BC521D">
        <w:rPr>
          <w:rFonts w:ascii="Times New Roman" w:eastAsia="Times New Roman" w:hAnsi="Times New Roman" w:cs="Times New Roman"/>
          <w:sz w:val="24"/>
          <w:szCs w:val="24"/>
          <w:lang w:eastAsia="ru-RU"/>
        </w:rPr>
        <w:t> Российской Федерации, Федеративным и иными договорами о разграничении предметов ведения и полномочий.</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Рассмотрение дела о соответствии нормативного акта, являющегося предметом спора о компетенции, </w:t>
      </w:r>
      <w:hyperlink r:id="rId22" w:history="1">
        <w:r w:rsidRPr="00BC521D">
          <w:rPr>
            <w:rFonts w:ascii="Times New Roman" w:eastAsia="Times New Roman" w:hAnsi="Times New Roman" w:cs="Times New Roman"/>
            <w:sz w:val="24"/>
            <w:szCs w:val="24"/>
            <w:lang w:eastAsia="ru-RU"/>
          </w:rPr>
          <w:t>Конституции</w:t>
        </w:r>
      </w:hyperlink>
      <w:r w:rsidRPr="00BC521D">
        <w:rPr>
          <w:rFonts w:ascii="Times New Roman" w:eastAsia="Times New Roman" w:hAnsi="Times New Roman" w:cs="Times New Roman"/>
          <w:sz w:val="24"/>
          <w:szCs w:val="24"/>
          <w:lang w:eastAsia="ru-RU"/>
        </w:rPr>
        <w:t> Российской Федерации по содержанию норм, форме, порядку его подписания, принятия, опубликования или введения в действие возможно только на основании отдельного запроса и в соответствии с </w:t>
      </w:r>
      <w:hyperlink r:id="rId23" w:anchor="dst100437" w:history="1">
        <w:r w:rsidRPr="00BC521D">
          <w:rPr>
            <w:rFonts w:ascii="Times New Roman" w:eastAsia="Times New Roman" w:hAnsi="Times New Roman" w:cs="Times New Roman"/>
            <w:sz w:val="24"/>
            <w:szCs w:val="24"/>
            <w:lang w:eastAsia="ru-RU"/>
          </w:rPr>
          <w:t>порядком</w:t>
        </w:r>
      </w:hyperlink>
      <w:r w:rsidRPr="00BC521D">
        <w:rPr>
          <w:rFonts w:ascii="Times New Roman" w:eastAsia="Times New Roman" w:hAnsi="Times New Roman" w:cs="Times New Roman"/>
          <w:sz w:val="24"/>
          <w:szCs w:val="24"/>
          <w:lang w:eastAsia="ru-RU"/>
        </w:rPr>
        <w:t> рассмотрения дел о конституционности нормативных актов.</w:t>
      </w:r>
    </w:p>
    <w:p w:rsidR="00BC521D" w:rsidRPr="00BC521D" w:rsidRDefault="00BC521D" w:rsidP="00BC521D">
      <w:pPr>
        <w:spacing w:after="0"/>
        <w:ind w:firstLine="709"/>
        <w:jc w:val="both"/>
        <w:rPr>
          <w:rFonts w:ascii="Times New Roman" w:hAnsi="Times New Roman" w:cs="Times New Roman"/>
          <w:sz w:val="24"/>
          <w:szCs w:val="24"/>
        </w:rPr>
      </w:pPr>
      <w:r w:rsidRPr="00BC521D">
        <w:rPr>
          <w:rFonts w:ascii="Times New Roman" w:hAnsi="Times New Roman" w:cs="Times New Roman"/>
          <w:sz w:val="24"/>
          <w:szCs w:val="24"/>
        </w:rPr>
        <w:t>П</w:t>
      </w:r>
      <w:r w:rsidRPr="00BC521D">
        <w:rPr>
          <w:rFonts w:ascii="Times New Roman" w:hAnsi="Times New Roman" w:cs="Times New Roman"/>
          <w:sz w:val="24"/>
          <w:szCs w:val="24"/>
        </w:rPr>
        <w:t>о итогам рассмотрения спора о компетенции Конституционный Суд Российской Федерации принимает одно из следующих постановлений:</w:t>
      </w:r>
    </w:p>
    <w:p w:rsidR="00BC521D" w:rsidRPr="00BC521D" w:rsidRDefault="00BC521D" w:rsidP="00BC521D">
      <w:pPr>
        <w:spacing w:after="0"/>
        <w:ind w:firstLine="709"/>
        <w:jc w:val="both"/>
        <w:rPr>
          <w:rFonts w:ascii="Times New Roman" w:hAnsi="Times New Roman" w:cs="Times New Roman"/>
          <w:sz w:val="24"/>
          <w:szCs w:val="24"/>
        </w:rPr>
      </w:pPr>
      <w:r w:rsidRPr="00BC521D">
        <w:rPr>
          <w:rFonts w:ascii="Times New Roman" w:hAnsi="Times New Roman" w:cs="Times New Roman"/>
          <w:sz w:val="24"/>
          <w:szCs w:val="24"/>
        </w:rPr>
        <w:t>1) подтверждающее полномочие соответствующего органа государственной власти издать акт или совершить действие правового характера, послужившие причиной спора о компетенции;</w:t>
      </w:r>
    </w:p>
    <w:p w:rsidR="00BC521D" w:rsidRPr="00BC521D" w:rsidRDefault="00BC521D" w:rsidP="00BC521D">
      <w:pPr>
        <w:spacing w:after="0"/>
        <w:ind w:firstLine="709"/>
        <w:jc w:val="both"/>
        <w:rPr>
          <w:rFonts w:ascii="Times New Roman" w:hAnsi="Times New Roman" w:cs="Times New Roman"/>
          <w:sz w:val="24"/>
          <w:szCs w:val="24"/>
        </w:rPr>
      </w:pPr>
      <w:r w:rsidRPr="00BC521D">
        <w:rPr>
          <w:rFonts w:ascii="Times New Roman" w:hAnsi="Times New Roman" w:cs="Times New Roman"/>
          <w:sz w:val="24"/>
          <w:szCs w:val="24"/>
        </w:rPr>
        <w:t>2) отрицающее полномочие соответствующего органа государственной власти издать акт или совершить действие правового характера, послужившие причиной спора о компетенции.</w:t>
      </w:r>
    </w:p>
    <w:p w:rsidR="00BC521D" w:rsidRPr="00BC521D" w:rsidRDefault="00BC521D" w:rsidP="00BC521D">
      <w:pPr>
        <w:spacing w:after="0"/>
        <w:ind w:firstLine="709"/>
        <w:jc w:val="both"/>
        <w:rPr>
          <w:rFonts w:ascii="Times New Roman" w:hAnsi="Times New Roman" w:cs="Times New Roman"/>
          <w:sz w:val="24"/>
          <w:szCs w:val="24"/>
        </w:rPr>
      </w:pPr>
      <w:r w:rsidRPr="00BC521D">
        <w:rPr>
          <w:rFonts w:ascii="Times New Roman" w:hAnsi="Times New Roman" w:cs="Times New Roman"/>
          <w:sz w:val="24"/>
          <w:szCs w:val="24"/>
        </w:rPr>
        <w:t>В случае, если Конституционный Суд Российской Федерации признает издание акта не входящим в компетенцию издавшего его органа государственной власти, акт утрачивает силу со дня, указанного в решении.</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 xml:space="preserve">Правом на обращение в Конституционный Суд Российской Федерации с индивидуальной или коллективной жалобой на нарушение конституционных прав и свобод </w:t>
      </w:r>
      <w:r w:rsidRPr="00BC521D">
        <w:rPr>
          <w:rFonts w:ascii="Times New Roman" w:eastAsia="Times New Roman" w:hAnsi="Times New Roman" w:cs="Times New Roman"/>
          <w:sz w:val="24"/>
          <w:szCs w:val="24"/>
          <w:lang w:eastAsia="ru-RU"/>
        </w:rPr>
        <w:lastRenderedPageBreak/>
        <w:t>обладают граждане, юридические лица и муниципальные образования в лице органов местного самоуправления, чьи права и свободы, по их мнению, нарушаются примененными в конкретном деле федеральным конституционным законом, федеральным законом, нормативным актом Президента Российской Федерации, Совета Федерации, Государственной Думы, Правительства Российской Федерации, конституцией республики, уставом, законом либо иным нормативным актом субъекта Российской Федерации, изданным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а также - в интересах таких граждан и юридических лиц - Уполномоченный по правам человека в Российской Федерации, уполномоченные по правам человека в субъектах Российской Федерации, другие уполномоченные по правам в отдельных сферах или отдельных категорий лиц, предусмотренные федеральными законами, иные органы и должностные лица в соответствии с федеральным законом, общероссийские организации, которые в соответствии с федеральным законом могут представлять интересы таких граждан и юридических лиц.</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К жалобе помимо документов, перечисленных в </w:t>
      </w:r>
      <w:hyperlink r:id="rId24" w:anchor="dst100226" w:history="1">
        <w:r w:rsidRPr="00BC521D">
          <w:rPr>
            <w:rFonts w:ascii="Times New Roman" w:eastAsia="Times New Roman" w:hAnsi="Times New Roman" w:cs="Times New Roman"/>
            <w:sz w:val="24"/>
            <w:szCs w:val="24"/>
            <w:lang w:eastAsia="ru-RU"/>
          </w:rPr>
          <w:t>статье 38</w:t>
        </w:r>
      </w:hyperlink>
      <w:r w:rsidRPr="00BC521D">
        <w:rPr>
          <w:rFonts w:ascii="Times New Roman" w:eastAsia="Times New Roman" w:hAnsi="Times New Roman" w:cs="Times New Roman"/>
          <w:sz w:val="24"/>
          <w:szCs w:val="24"/>
          <w:lang w:eastAsia="ru-RU"/>
        </w:rPr>
        <w:t> настоящего Федерального конституционного закона, прилагаются судебные решения, подтверждающие применение обжалуемого нормативного акта судом при разрешении конкретного дела и исчерпание всех других внутригосударственных средств судебной защиты. Выдача заявителю копий таких документов производится по его требованию соответствующими судами. Если жалоба подается не самим гражданином или юридическим лицом, а органом, должностным лицом или организацией в его интересах, к жалобе также прилагается письменное согласие гражданина или юридического лица на подачу жалобы.</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Жалоба на нарушение нормативным актом конституционных прав и свобод допустима, если:</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1) имеются признаки нарушения прав и свобод заявителя или лица, в интересах которого подана жалоба в Конституционный Суд Российской Федерации, в результате применения оспариваемого нормативного акта в конкретном деле с участием заявителя или лица, в интересах которого подана жалоба;</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2) жалоба подана в срок не позднее одного года после принятия судебного решения, которым исчерпываются внутригосударственные средства судебной защиты, а в случае, если в пересмотре дела судом, решение которого обычно исчерпывает внутригосударственные средства судебной защиты по соответствующей категории дел, было отказано в связи с пропуском срока обжалования, - в срок не позднее одного года после принятия последнего судебного решения, в котором был применен соответствующий нормативный акт;</w:t>
      </w:r>
    </w:p>
    <w:p w:rsidR="00BC521D" w:rsidRPr="00BC521D" w:rsidRDefault="00BC521D" w:rsidP="00BC521D">
      <w:pPr>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 xml:space="preserve">3) исчерпаны все другие внутригосударственные средства судебной защиты прав заявителя или лица, в интересах которого подана жалоба в Конституционный Суд Российской Федерации, при разрешении конкретного дела. При этом под исчерпанием внутригосударственных средств судебной защиты понимается подача в соответствии с законодательством о соответствующем виде судопроизводства заявителем или лицом, в интересах которого подана жалоба в Конституционный Суд Российской Федерации, кассационной жалобы в суд максимально высокой для данной категории дел инстанции или в случае, если вступившие в силу судебные акты по данной категории дел подлежат обжалованию только в надзорном порядке, надзорной жалобы, если судебный акт, в котором был применен оспариваемый нормативный акт, был предметом кассационного или надзорного обжалования в связи с применением этого нормативного акта, а подача кассационной или надзорной жалобы не привела к устранению признаков нарушения прав таких заявителя или лица. Конституционный Суд Российской Федерации может признать внутригосударственные средства судебной защиты исчерпанными также в случае, если сложившаяся правоприменительная практика суда, решение которого обычно исчерпывает </w:t>
      </w:r>
      <w:r w:rsidRPr="00BC521D">
        <w:rPr>
          <w:rFonts w:ascii="Times New Roman" w:eastAsia="Times New Roman" w:hAnsi="Times New Roman" w:cs="Times New Roman"/>
          <w:sz w:val="24"/>
          <w:szCs w:val="24"/>
          <w:lang w:eastAsia="ru-RU"/>
        </w:rPr>
        <w:lastRenderedPageBreak/>
        <w:t>внутригосударственные средства судебной защиты по соответствующей категории дел, или официальное толкование оспариваемого нормативного акта, данное в разъяснениях по вопросам судебной практики в целях обеспечения единообразного применения законодательства Российской Федерации, свидетельствует о том, что иное применение оспариваемого нормативного акта, чем имевшее место в конкретном деле, не предполагается.</w:t>
      </w:r>
    </w:p>
    <w:p w:rsidR="00BC521D" w:rsidRPr="00BC521D" w:rsidRDefault="00BC521D" w:rsidP="00BC521D">
      <w:pPr>
        <w:pStyle w:val="a4"/>
        <w:shd w:val="clear" w:color="auto" w:fill="FFFFFF"/>
        <w:spacing w:before="0" w:beforeAutospacing="0" w:after="0" w:afterAutospacing="0"/>
        <w:ind w:firstLine="709"/>
        <w:jc w:val="both"/>
      </w:pPr>
      <w:r w:rsidRPr="00BC521D">
        <w:t>Конституционный Суд Российской Федерации, приняв к рассмотрению жалобу на нарушение конституционных прав и свобод, уведомляет об этом суд, принявший последнее судебное постановление по делу заявителя или лица, в интересах которого подана жалоба в Конституционный Суд Российской Федерации, в котором применен обжалуемый нормативный акт, а по требованию заявителя - орган, осуществляющий в соответствии с федеральным законом исполнение данного судебного постановления, и суд, рассматривающий дело, для которого данное судебное постановление может иметь значение. Соответствующий суд может приостановить исполнение судебного постановления или производство по делу до принятия Конституционным Судом Российской Федерации постановления.</w:t>
      </w:r>
    </w:p>
    <w:p w:rsidR="00BC521D" w:rsidRPr="00BC521D" w:rsidRDefault="00BC521D" w:rsidP="00BC521D">
      <w:pPr>
        <w:pStyle w:val="a4"/>
        <w:shd w:val="clear" w:color="auto" w:fill="FFFFFF"/>
        <w:spacing w:before="0" w:beforeAutospacing="0" w:after="0" w:afterAutospacing="0"/>
        <w:ind w:firstLine="709"/>
        <w:jc w:val="both"/>
      </w:pPr>
      <w:r w:rsidRPr="00BC521D">
        <w:t>В случае, если продолжение исполнения судебного постановления по делу заявителя или лица, в интересах которого подана жалоба в Конституционный Суд Российской Федерации, может привести к невозможности восстановления прав заявителя или названного лица после принятия Конституционным Судом Российской Федерации постановления, Конституционный Суд Российской Федерации в определении о принятии жалобы к рассмотрению вправе указать на необходимость приостановления исполнения судебного постановления до вынесения постановления Конституционного Суда Российской Федерации и пересмотра конкретного дела, в котором был применен оспариваемый нормативный акт. Такое указание обязательно для судов и органа, осуществляющего в соответствии с федеральным законом исполнение данного судебного постановления. В этом случае определение о принятии жалобы к рассмотрению излагается в виде отдельного документа.</w:t>
      </w:r>
    </w:p>
    <w:p w:rsidR="00BC521D" w:rsidRPr="00BC521D" w:rsidRDefault="00BC521D" w:rsidP="00BC521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C521D">
        <w:rPr>
          <w:rFonts w:ascii="Times New Roman" w:eastAsia="Times New Roman" w:hAnsi="Times New Roman" w:cs="Times New Roman"/>
          <w:sz w:val="24"/>
          <w:szCs w:val="24"/>
          <w:lang w:eastAsia="ru-RU"/>
        </w:rPr>
        <w:t>По итогам рассмотрения жалобы на нарушение нормативным актом конституционных прав и свобод Конституционный Суд Российской Федерации принимает одно из постановлений, предусмотренных законом о Конституционном Суде.</w:t>
      </w:r>
    </w:p>
    <w:sectPr w:rsidR="00BC521D" w:rsidRPr="00BC5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51F"/>
    <w:rsid w:val="005A251F"/>
    <w:rsid w:val="007D5F86"/>
    <w:rsid w:val="00BC5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C62C8-C8CA-429A-95EE-6FCD32A9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C521D"/>
    <w:rPr>
      <w:color w:val="0000FF"/>
      <w:u w:val="single"/>
    </w:rPr>
  </w:style>
  <w:style w:type="paragraph" w:styleId="a4">
    <w:name w:val="Normal (Web)"/>
    <w:basedOn w:val="a"/>
    <w:uiPriority w:val="99"/>
    <w:semiHidden/>
    <w:unhideWhenUsed/>
    <w:rsid w:val="00BC52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BC52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88952">
      <w:bodyDiv w:val="1"/>
      <w:marLeft w:val="0"/>
      <w:marRight w:val="0"/>
      <w:marTop w:val="0"/>
      <w:marBottom w:val="0"/>
      <w:divBdr>
        <w:top w:val="none" w:sz="0" w:space="0" w:color="auto"/>
        <w:left w:val="none" w:sz="0" w:space="0" w:color="auto"/>
        <w:bottom w:val="none" w:sz="0" w:space="0" w:color="auto"/>
        <w:right w:val="none" w:sz="0" w:space="0" w:color="auto"/>
      </w:divBdr>
    </w:div>
    <w:div w:id="289751310">
      <w:bodyDiv w:val="1"/>
      <w:marLeft w:val="0"/>
      <w:marRight w:val="0"/>
      <w:marTop w:val="0"/>
      <w:marBottom w:val="0"/>
      <w:divBdr>
        <w:top w:val="none" w:sz="0" w:space="0" w:color="auto"/>
        <w:left w:val="none" w:sz="0" w:space="0" w:color="auto"/>
        <w:bottom w:val="none" w:sz="0" w:space="0" w:color="auto"/>
        <w:right w:val="none" w:sz="0" w:space="0" w:color="auto"/>
      </w:divBdr>
    </w:div>
    <w:div w:id="325593247">
      <w:bodyDiv w:val="1"/>
      <w:marLeft w:val="0"/>
      <w:marRight w:val="0"/>
      <w:marTop w:val="0"/>
      <w:marBottom w:val="0"/>
      <w:divBdr>
        <w:top w:val="none" w:sz="0" w:space="0" w:color="auto"/>
        <w:left w:val="none" w:sz="0" w:space="0" w:color="auto"/>
        <w:bottom w:val="none" w:sz="0" w:space="0" w:color="auto"/>
        <w:right w:val="none" w:sz="0" w:space="0" w:color="auto"/>
      </w:divBdr>
    </w:div>
    <w:div w:id="375157063">
      <w:bodyDiv w:val="1"/>
      <w:marLeft w:val="0"/>
      <w:marRight w:val="0"/>
      <w:marTop w:val="0"/>
      <w:marBottom w:val="0"/>
      <w:divBdr>
        <w:top w:val="none" w:sz="0" w:space="0" w:color="auto"/>
        <w:left w:val="none" w:sz="0" w:space="0" w:color="auto"/>
        <w:bottom w:val="none" w:sz="0" w:space="0" w:color="auto"/>
        <w:right w:val="none" w:sz="0" w:space="0" w:color="auto"/>
      </w:divBdr>
      <w:divsChild>
        <w:div w:id="889145317">
          <w:marLeft w:val="0"/>
          <w:marRight w:val="0"/>
          <w:marTop w:val="0"/>
          <w:marBottom w:val="0"/>
          <w:divBdr>
            <w:top w:val="none" w:sz="0" w:space="0" w:color="auto"/>
            <w:left w:val="none" w:sz="0" w:space="0" w:color="auto"/>
            <w:bottom w:val="none" w:sz="0" w:space="0" w:color="auto"/>
            <w:right w:val="none" w:sz="0" w:space="0" w:color="auto"/>
          </w:divBdr>
        </w:div>
        <w:div w:id="723600816">
          <w:marLeft w:val="0"/>
          <w:marRight w:val="0"/>
          <w:marTop w:val="0"/>
          <w:marBottom w:val="0"/>
          <w:divBdr>
            <w:top w:val="none" w:sz="0" w:space="0" w:color="auto"/>
            <w:left w:val="none" w:sz="0" w:space="0" w:color="auto"/>
            <w:bottom w:val="none" w:sz="0" w:space="0" w:color="auto"/>
            <w:right w:val="none" w:sz="0" w:space="0" w:color="auto"/>
          </w:divBdr>
        </w:div>
      </w:divsChild>
    </w:div>
    <w:div w:id="459417846">
      <w:bodyDiv w:val="1"/>
      <w:marLeft w:val="0"/>
      <w:marRight w:val="0"/>
      <w:marTop w:val="0"/>
      <w:marBottom w:val="0"/>
      <w:divBdr>
        <w:top w:val="none" w:sz="0" w:space="0" w:color="auto"/>
        <w:left w:val="none" w:sz="0" w:space="0" w:color="auto"/>
        <w:bottom w:val="none" w:sz="0" w:space="0" w:color="auto"/>
        <w:right w:val="none" w:sz="0" w:space="0" w:color="auto"/>
      </w:divBdr>
    </w:div>
    <w:div w:id="611278454">
      <w:bodyDiv w:val="1"/>
      <w:marLeft w:val="0"/>
      <w:marRight w:val="0"/>
      <w:marTop w:val="0"/>
      <w:marBottom w:val="0"/>
      <w:divBdr>
        <w:top w:val="none" w:sz="0" w:space="0" w:color="auto"/>
        <w:left w:val="none" w:sz="0" w:space="0" w:color="auto"/>
        <w:bottom w:val="none" w:sz="0" w:space="0" w:color="auto"/>
        <w:right w:val="none" w:sz="0" w:space="0" w:color="auto"/>
      </w:divBdr>
      <w:divsChild>
        <w:div w:id="284967429">
          <w:marLeft w:val="0"/>
          <w:marRight w:val="0"/>
          <w:marTop w:val="0"/>
          <w:marBottom w:val="0"/>
          <w:divBdr>
            <w:top w:val="none" w:sz="0" w:space="0" w:color="auto"/>
            <w:left w:val="none" w:sz="0" w:space="0" w:color="auto"/>
            <w:bottom w:val="none" w:sz="0" w:space="0" w:color="auto"/>
            <w:right w:val="none" w:sz="0" w:space="0" w:color="auto"/>
          </w:divBdr>
        </w:div>
        <w:div w:id="1154177525">
          <w:marLeft w:val="0"/>
          <w:marRight w:val="0"/>
          <w:marTop w:val="0"/>
          <w:marBottom w:val="0"/>
          <w:divBdr>
            <w:top w:val="none" w:sz="0" w:space="0" w:color="auto"/>
            <w:left w:val="none" w:sz="0" w:space="0" w:color="auto"/>
            <w:bottom w:val="none" w:sz="0" w:space="0" w:color="auto"/>
            <w:right w:val="none" w:sz="0" w:space="0" w:color="auto"/>
          </w:divBdr>
        </w:div>
      </w:divsChild>
    </w:div>
    <w:div w:id="661003813">
      <w:bodyDiv w:val="1"/>
      <w:marLeft w:val="0"/>
      <w:marRight w:val="0"/>
      <w:marTop w:val="0"/>
      <w:marBottom w:val="0"/>
      <w:divBdr>
        <w:top w:val="none" w:sz="0" w:space="0" w:color="auto"/>
        <w:left w:val="none" w:sz="0" w:space="0" w:color="auto"/>
        <w:bottom w:val="none" w:sz="0" w:space="0" w:color="auto"/>
        <w:right w:val="none" w:sz="0" w:space="0" w:color="auto"/>
      </w:divBdr>
    </w:div>
    <w:div w:id="681707484">
      <w:bodyDiv w:val="1"/>
      <w:marLeft w:val="0"/>
      <w:marRight w:val="0"/>
      <w:marTop w:val="0"/>
      <w:marBottom w:val="0"/>
      <w:divBdr>
        <w:top w:val="none" w:sz="0" w:space="0" w:color="auto"/>
        <w:left w:val="none" w:sz="0" w:space="0" w:color="auto"/>
        <w:bottom w:val="none" w:sz="0" w:space="0" w:color="auto"/>
        <w:right w:val="none" w:sz="0" w:space="0" w:color="auto"/>
      </w:divBdr>
      <w:divsChild>
        <w:div w:id="182867068">
          <w:marLeft w:val="0"/>
          <w:marRight w:val="0"/>
          <w:marTop w:val="360"/>
          <w:marBottom w:val="0"/>
          <w:divBdr>
            <w:top w:val="none" w:sz="0" w:space="0" w:color="auto"/>
            <w:left w:val="none" w:sz="0" w:space="0" w:color="auto"/>
            <w:bottom w:val="none" w:sz="0" w:space="0" w:color="auto"/>
            <w:right w:val="none" w:sz="0" w:space="0" w:color="auto"/>
          </w:divBdr>
        </w:div>
      </w:divsChild>
    </w:div>
    <w:div w:id="1192107667">
      <w:bodyDiv w:val="1"/>
      <w:marLeft w:val="0"/>
      <w:marRight w:val="0"/>
      <w:marTop w:val="0"/>
      <w:marBottom w:val="0"/>
      <w:divBdr>
        <w:top w:val="none" w:sz="0" w:space="0" w:color="auto"/>
        <w:left w:val="none" w:sz="0" w:space="0" w:color="auto"/>
        <w:bottom w:val="none" w:sz="0" w:space="0" w:color="auto"/>
        <w:right w:val="none" w:sz="0" w:space="0" w:color="auto"/>
      </w:divBdr>
    </w:div>
    <w:div w:id="1248807586">
      <w:bodyDiv w:val="1"/>
      <w:marLeft w:val="0"/>
      <w:marRight w:val="0"/>
      <w:marTop w:val="0"/>
      <w:marBottom w:val="0"/>
      <w:divBdr>
        <w:top w:val="none" w:sz="0" w:space="0" w:color="auto"/>
        <w:left w:val="none" w:sz="0" w:space="0" w:color="auto"/>
        <w:bottom w:val="none" w:sz="0" w:space="0" w:color="auto"/>
        <w:right w:val="none" w:sz="0" w:space="0" w:color="auto"/>
      </w:divBdr>
    </w:div>
    <w:div w:id="1290555309">
      <w:bodyDiv w:val="1"/>
      <w:marLeft w:val="0"/>
      <w:marRight w:val="0"/>
      <w:marTop w:val="0"/>
      <w:marBottom w:val="0"/>
      <w:divBdr>
        <w:top w:val="none" w:sz="0" w:space="0" w:color="auto"/>
        <w:left w:val="none" w:sz="0" w:space="0" w:color="auto"/>
        <w:bottom w:val="none" w:sz="0" w:space="0" w:color="auto"/>
        <w:right w:val="none" w:sz="0" w:space="0" w:color="auto"/>
      </w:divBdr>
    </w:div>
    <w:div w:id="1310942890">
      <w:bodyDiv w:val="1"/>
      <w:marLeft w:val="0"/>
      <w:marRight w:val="0"/>
      <w:marTop w:val="0"/>
      <w:marBottom w:val="0"/>
      <w:divBdr>
        <w:top w:val="none" w:sz="0" w:space="0" w:color="auto"/>
        <w:left w:val="none" w:sz="0" w:space="0" w:color="auto"/>
        <w:bottom w:val="none" w:sz="0" w:space="0" w:color="auto"/>
        <w:right w:val="none" w:sz="0" w:space="0" w:color="auto"/>
      </w:divBdr>
    </w:div>
    <w:div w:id="1478375299">
      <w:bodyDiv w:val="1"/>
      <w:marLeft w:val="0"/>
      <w:marRight w:val="0"/>
      <w:marTop w:val="0"/>
      <w:marBottom w:val="0"/>
      <w:divBdr>
        <w:top w:val="none" w:sz="0" w:space="0" w:color="auto"/>
        <w:left w:val="none" w:sz="0" w:space="0" w:color="auto"/>
        <w:bottom w:val="none" w:sz="0" w:space="0" w:color="auto"/>
        <w:right w:val="none" w:sz="0" w:space="0" w:color="auto"/>
      </w:divBdr>
    </w:div>
    <w:div w:id="1639258135">
      <w:bodyDiv w:val="1"/>
      <w:marLeft w:val="0"/>
      <w:marRight w:val="0"/>
      <w:marTop w:val="0"/>
      <w:marBottom w:val="0"/>
      <w:divBdr>
        <w:top w:val="none" w:sz="0" w:space="0" w:color="auto"/>
        <w:left w:val="none" w:sz="0" w:space="0" w:color="auto"/>
        <w:bottom w:val="none" w:sz="0" w:space="0" w:color="auto"/>
        <w:right w:val="none" w:sz="0" w:space="0" w:color="auto"/>
      </w:divBdr>
      <w:divsChild>
        <w:div w:id="1859929050">
          <w:marLeft w:val="0"/>
          <w:marRight w:val="0"/>
          <w:marTop w:val="0"/>
          <w:marBottom w:val="0"/>
          <w:divBdr>
            <w:top w:val="none" w:sz="0" w:space="0" w:color="auto"/>
            <w:left w:val="none" w:sz="0" w:space="0" w:color="auto"/>
            <w:bottom w:val="none" w:sz="0" w:space="0" w:color="auto"/>
            <w:right w:val="none" w:sz="0" w:space="0" w:color="auto"/>
          </w:divBdr>
        </w:div>
        <w:div w:id="770509017">
          <w:marLeft w:val="0"/>
          <w:marRight w:val="0"/>
          <w:marTop w:val="0"/>
          <w:marBottom w:val="0"/>
          <w:divBdr>
            <w:top w:val="none" w:sz="0" w:space="0" w:color="auto"/>
            <w:left w:val="none" w:sz="0" w:space="0" w:color="auto"/>
            <w:bottom w:val="none" w:sz="0" w:space="0" w:color="auto"/>
            <w:right w:val="none" w:sz="0" w:space="0" w:color="auto"/>
          </w:divBdr>
        </w:div>
        <w:div w:id="43144851">
          <w:marLeft w:val="0"/>
          <w:marRight w:val="0"/>
          <w:marTop w:val="0"/>
          <w:marBottom w:val="0"/>
          <w:divBdr>
            <w:top w:val="none" w:sz="0" w:space="0" w:color="auto"/>
            <w:left w:val="none" w:sz="0" w:space="0" w:color="auto"/>
            <w:bottom w:val="none" w:sz="0" w:space="0" w:color="auto"/>
            <w:right w:val="none" w:sz="0" w:space="0" w:color="auto"/>
          </w:divBdr>
        </w:div>
        <w:div w:id="1782260070">
          <w:marLeft w:val="0"/>
          <w:marRight w:val="0"/>
          <w:marTop w:val="0"/>
          <w:marBottom w:val="0"/>
          <w:divBdr>
            <w:top w:val="none" w:sz="0" w:space="0" w:color="auto"/>
            <w:left w:val="none" w:sz="0" w:space="0" w:color="auto"/>
            <w:bottom w:val="none" w:sz="0" w:space="0" w:color="auto"/>
            <w:right w:val="none" w:sz="0" w:space="0" w:color="auto"/>
          </w:divBdr>
        </w:div>
      </w:divsChild>
    </w:div>
    <w:div w:id="19658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6281/" TargetMode="External"/><Relationship Id="rId13" Type="http://schemas.openxmlformats.org/officeDocument/2006/relationships/hyperlink" Target="http://www.consultant.ru/document/cons_doc_LAW_2875/9476c6b2fb8624d3646b44a31895f307718ba754/" TargetMode="External"/><Relationship Id="rId18" Type="http://schemas.openxmlformats.org/officeDocument/2006/relationships/hyperlink" Target="http://www.consultant.ru/document/cons_doc_LAW_2875/9476c6b2fb8624d3646b44a31895f307718ba75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onsultant.ru/document/cons_doc_LAW_2875/7faf10d5db4889ccd421abd45b63fd2b43a3dea7/" TargetMode="External"/><Relationship Id="rId7" Type="http://schemas.openxmlformats.org/officeDocument/2006/relationships/hyperlink" Target="http://www.consultant.ru/document/cons_doc_LAW_2875/" TargetMode="External"/><Relationship Id="rId12" Type="http://schemas.openxmlformats.org/officeDocument/2006/relationships/hyperlink" Target="http://www.consultant.ru/document/cons_doc_LAW_2875/af8d726b0c367d7c0c191c947cfb161464a01cd7/" TargetMode="External"/><Relationship Id="rId17" Type="http://schemas.openxmlformats.org/officeDocument/2006/relationships/hyperlink" Target="http://www.consultant.ru/document/cons_doc_LAW_425807/d92a6a099daa9a60adbce7d9420dea607e47eb95/"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2875/af8d726b0c367d7c0c191c947cfb161464a01cd7/" TargetMode="External"/><Relationship Id="rId20" Type="http://schemas.openxmlformats.org/officeDocument/2006/relationships/hyperlink" Target="http://www.consultant.ru/document/cons_doc_LAW_2875/" TargetMode="External"/><Relationship Id="rId1" Type="http://schemas.openxmlformats.org/officeDocument/2006/relationships/styles" Target="styles.xml"/><Relationship Id="rId6" Type="http://schemas.openxmlformats.org/officeDocument/2006/relationships/hyperlink" Target="http://www.consultant.ru/document/cons_doc_LAW_370228/5a3df741364614d0430effaceab7c10624b5c4cc/" TargetMode="External"/><Relationship Id="rId11" Type="http://schemas.openxmlformats.org/officeDocument/2006/relationships/hyperlink" Target="http://www.consultant.ru/document/cons_doc_LAW_2875/" TargetMode="External"/><Relationship Id="rId24" Type="http://schemas.openxmlformats.org/officeDocument/2006/relationships/hyperlink" Target="http://www.consultant.ru/document/cons_doc_LAW_425807/bdd01ecc600a78f2fbd1a222d71fe83a9382250f/" TargetMode="External"/><Relationship Id="rId5" Type="http://schemas.openxmlformats.org/officeDocument/2006/relationships/hyperlink" Target="http://www.consultant.ru/document/cons_doc_LAW_2875/" TargetMode="External"/><Relationship Id="rId15" Type="http://schemas.openxmlformats.org/officeDocument/2006/relationships/hyperlink" Target="http://www.consultant.ru/document/cons_doc_LAW_2875/" TargetMode="External"/><Relationship Id="rId23" Type="http://schemas.openxmlformats.org/officeDocument/2006/relationships/hyperlink" Target="http://www.consultant.ru/document/cons_doc_LAW_425807/d767a55e82f096fe5be2113b3b9ecf3b666adbdb/" TargetMode="External"/><Relationship Id="rId10" Type="http://schemas.openxmlformats.org/officeDocument/2006/relationships/hyperlink" Target="http://www.consultant.ru/document/cons_doc_LAW_2875/" TargetMode="External"/><Relationship Id="rId19" Type="http://schemas.openxmlformats.org/officeDocument/2006/relationships/hyperlink" Target="http://www.consultant.ru/document/cons_doc_LAW_2875/9476c6b2fb8624d3646b44a31895f307718ba754/" TargetMode="External"/><Relationship Id="rId4" Type="http://schemas.openxmlformats.org/officeDocument/2006/relationships/hyperlink" Target="http://www.consultant.ru/document/cons_doc_LAW_4172/e0819023a68e59f86b61b21e08aeb1aeadeb4766/" TargetMode="External"/><Relationship Id="rId9" Type="http://schemas.openxmlformats.org/officeDocument/2006/relationships/hyperlink" Target="http://www.consultant.ru/document/cons_doc_LAW_2875/" TargetMode="External"/><Relationship Id="rId14" Type="http://schemas.openxmlformats.org/officeDocument/2006/relationships/hyperlink" Target="http://www.consultant.ru/document/cons_doc_LAW_2875/" TargetMode="External"/><Relationship Id="rId22" Type="http://schemas.openxmlformats.org/officeDocument/2006/relationships/hyperlink" Target="http://www.consultant.ru/document/cons_doc_LAW_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2245</Words>
  <Characters>12798</Characters>
  <Application>Microsoft Office Word</Application>
  <DocSecurity>0</DocSecurity>
  <Lines>106</Lines>
  <Paragraphs>30</Paragraphs>
  <ScaleCrop>false</ScaleCrop>
  <Company>SPecialiST RePack</Company>
  <LinksUpToDate>false</LinksUpToDate>
  <CharactersWithSpaces>15013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2022-09-09T13:24:00Z</dcterms:created>
  <dcterms:modified xsi:type="dcterms:W3CDTF">2022-09-09T13:33:00Z</dcterms:modified>
</cp:coreProperties>
</file>