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07CA" w:rsidRPr="00CD07CA" w:rsidRDefault="00CD07CA" w:rsidP="00CD07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Hlk42431550"/>
      <w:r w:rsidRPr="00CD07CA">
        <w:rPr>
          <w:rFonts w:ascii="Times New Roman" w:eastAsia="Calibri" w:hAnsi="Times New Roman" w:cs="Times New Roman"/>
          <w:b/>
          <w:sz w:val="20"/>
          <w:szCs w:val="20"/>
        </w:rPr>
        <w:t>ТЕМА №1. ПОНЯТИЕ ГРАЖДАНСКОГО ПРАВА</w:t>
      </w:r>
    </w:p>
    <w:bookmarkEnd w:id="0"/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sz w:val="20"/>
          <w:szCs w:val="20"/>
        </w:rPr>
        <w:t>Вопросы к теме №1</w:t>
      </w:r>
    </w:p>
    <w:p w:rsidR="00CD07CA" w:rsidRPr="00CD07CA" w:rsidRDefault="00CD07CA" w:rsidP="00CD07CA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Понятие и предмет гражданского права.</w:t>
      </w:r>
      <w:r w:rsidRPr="00CD07C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CD07CA" w:rsidRPr="00CD07CA" w:rsidRDefault="00CD07CA" w:rsidP="00CD07C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Метод гражданско-правового регулирования.</w:t>
      </w:r>
    </w:p>
    <w:p w:rsidR="00CD07CA" w:rsidRPr="00CD07CA" w:rsidRDefault="00CD07CA" w:rsidP="00CD07C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Принципы гражданского права.</w:t>
      </w:r>
    </w:p>
    <w:p w:rsidR="00CD07CA" w:rsidRPr="00CD07CA" w:rsidRDefault="00CD07CA" w:rsidP="00CD07C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Функции гражданского права.</w:t>
      </w:r>
    </w:p>
    <w:p w:rsidR="00CD07CA" w:rsidRPr="00CD07CA" w:rsidRDefault="00CD07CA" w:rsidP="00CD07C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Система гражданского права.</w:t>
      </w:r>
    </w:p>
    <w:p w:rsidR="00CD07CA" w:rsidRPr="00CD07CA" w:rsidRDefault="00CD07CA" w:rsidP="00CD07C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CD07CA">
        <w:rPr>
          <w:rFonts w:ascii="Times New Roman" w:eastAsia="Calibri" w:hAnsi="Times New Roman" w:cs="Times New Roman"/>
          <w:sz w:val="20"/>
          <w:szCs w:val="20"/>
        </w:rPr>
        <w:t>Гражданское право в системе права.</w:t>
      </w:r>
    </w:p>
    <w:p w:rsidR="00CD07CA" w:rsidRPr="00CD07CA" w:rsidRDefault="00CD07CA" w:rsidP="00CD07C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Источники гражданского права.</w:t>
      </w:r>
    </w:p>
    <w:p w:rsidR="00CD07CA" w:rsidRPr="00CD07CA" w:rsidRDefault="00CD07CA" w:rsidP="00CD07CA">
      <w:pPr>
        <w:spacing w:after="0" w:line="240" w:lineRule="auto"/>
        <w:ind w:left="927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CD07CA" w:rsidRPr="00CD07CA" w:rsidRDefault="00CD07CA" w:rsidP="00CD07CA">
      <w:pPr>
        <w:numPr>
          <w:ilvl w:val="1"/>
          <w:numId w:val="16"/>
        </w:numPr>
        <w:spacing w:after="0" w:line="240" w:lineRule="auto"/>
        <w:ind w:left="924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sz w:val="20"/>
          <w:szCs w:val="20"/>
        </w:rPr>
        <w:t>Понятие и предмет гражданского права</w:t>
      </w:r>
    </w:p>
    <w:p w:rsidR="00CD07CA" w:rsidRPr="00CD07CA" w:rsidRDefault="00CD07CA" w:rsidP="00CD07CA">
      <w:pPr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Изначально термин «гражданское право» (лат.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jus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civile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возник в Древнем Риме и обозначал все права римских граждан, т.е. внутреннее, национальное право в противопоставление праву, которое регулировало отношения с гражданами других государств (лат.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jus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gentium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). Позднее им стала обозначаться только область частного права. В результате заимствования положений римского частного права европейскими и иными правопорядками это понятие заняло прочное место во всех правовых системах в качестве наименования одной из фундаментальных правовых отраслей.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Гражданское право понятие многогранное. Прежде всего под ним понимают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отрасль российского частного права.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Гражданское право - совокупность правовых норм, регулирующих имущественные и связанные с ними личные неимущественные отношения, основанные на равенстве, автономии воли и имущественной самостоятельности их участников. Г</w:t>
      </w:r>
      <w:r w:rsidRPr="00CD07CA">
        <w:rPr>
          <w:rFonts w:ascii="Times New Roman" w:eastAsia="Calibri" w:hAnsi="Times New Roman" w:cs="Times New Roman"/>
          <w:sz w:val="20"/>
          <w:szCs w:val="20"/>
        </w:rPr>
        <w:t>ражданское право имеет свои особенности, свои специфические черты. Без этого было бы невозможным деление права на отрасли и обособление одной части права от другой. Гражданское право существенно отличается, например, от административного, </w:t>
      </w:r>
      <w:hyperlink r:id="rId7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уголовного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 других </w:t>
      </w:r>
      <w:hyperlink r:id="rId8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отраслей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 В основе этого различия лежат особенности регулируемых каждой из отраслей права отношений – предмета и метода отрасли права.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Предмет гражданского права составляют три группы отношений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: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имущественные отношения;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тесно связанные с имущественными личные неимущественные отношения;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3) личные неимущественные отношения, не связанные с имущественными;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Имущественные отношения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составляют основную группу отношений, регулируемых нормами гражданского права. И</w:t>
      </w:r>
      <w:hyperlink r:id="rId9" w:history="1">
        <w:r w:rsidRPr="00CD07C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мущественные отношения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это отношения по поводу имущественных благ.</w:t>
      </w: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Гражданское право регулирует не все имущественные отношения, а только те из них, которые складываются и функционируют как отношения </w:t>
      </w:r>
      <w:hyperlink r:id="rId10" w:history="1">
        <w:r w:rsidRPr="00CD07C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собственности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. Сущностная черта регулируемых гражданским правом отношений состоит в том, что они представляют собой отношения собственности, т.е. отношения, в рамках которых происходит закрепление собственности за определенными лицами и реализация возможностей, заложенных в собственности.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Отношения собственности, регулируемые гражданским правом, делятся на два вида: отношения собственности в ее статике и отношения собственности в ее динамике. Отношения собственности в статике есть отношения закрепления имущества за определенными лицами, принадлежности имущества определенным лицам.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процессе распоряжения собственностью как своим имуществом собственник вступает в отношения с иными лицами, обменивая принадлежащее ему имущество на другие, необходимые ему имущественные блага. Эти отношения представляют собой отношения собственности в ее динамике.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Следовательно, товарно-денежные отношения есть не что иное, как отношения собственности в ее динамике.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Имущественные отношения, регулируемые гражданским </w:t>
      </w:r>
      <w:proofErr w:type="gram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правом, в силу того, что</w:t>
      </w:r>
      <w:proofErr w:type="gram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они являются отношениями собственности, характеризуются следующими признаками, определяющими само содержание гражданского права:</w:t>
      </w:r>
    </w:p>
    <w:p w:rsidR="00CD07CA" w:rsidRPr="00CD07CA" w:rsidRDefault="00CD07CA" w:rsidP="00CD07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 отношения между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имущественно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обособленными субъектами. Каждая из сторон в </w:t>
      </w:r>
      <w:hyperlink r:id="rId11" w:history="1">
        <w:r w:rsidRPr="00CD07C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гражданском правоотношении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 имеет свое имущество и не обладает </w:t>
      </w:r>
      <w:hyperlink r:id="rId12" w:history="1">
        <w:r w:rsidRPr="00CD07C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властью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над имуществом другой стороны;</w:t>
      </w:r>
    </w:p>
    <w:p w:rsidR="00CD07CA" w:rsidRPr="00CD07CA" w:rsidRDefault="00CD07CA" w:rsidP="00CD07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каждая из сторон обладает имущественно-распорядительной самостоятельностью, т.е., имея власть над своим имуществом, распоряжается им самостоятельно на основе собственной воли и волеизъявления;</w:t>
      </w:r>
    </w:p>
    <w:p w:rsidR="00CD07CA" w:rsidRPr="00CD07CA" w:rsidRDefault="00CD07CA" w:rsidP="00CD07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 стороны имеют равное положение по отношению друг к другу. Здесь нет элементов власти одного лица над другим лицом или его имуществом. Отношения, регулируемые гражданским правом, есть отношения координации, а не отношения субординации;</w:t>
      </w:r>
    </w:p>
    <w:p w:rsidR="00CD07CA" w:rsidRPr="00CD07CA" w:rsidRDefault="00CD07CA" w:rsidP="00CD07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отношения являются возмездными – отношениями эквивалентного обмена благами.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Личные неимущественные отношения подразделяются на </w:t>
      </w:r>
      <w:r w:rsidRPr="00CD07CA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связанные с имущественными отношениями, </w:t>
      </w:r>
      <w:r w:rsidRPr="00CD07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 </w:t>
      </w:r>
      <w:r w:rsidRPr="00CD07CA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личные неимущественные отношения, не связанные с ними.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примера личных неимущественных отношений, тесно связанных с имущественными, можно привести отношения авторства на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произведения науки, литературы, искусства, изобретения и другие результаты интеллектуальной деятельности. В первом случае авторство на произведение литературы, науки, искусства является источник получения материальной выгоды. Поэтому эти личные неимущественные отношения будут признаны связанными с имущественными. Группу личных неимущественных отношений, не связанных с имущественными, составляют такие отношения, которые, во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первых, лишены материального (имущественного) содержания, их невозможно оценить в денежном выражении; во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вторых, они неразрывно связаны с личностью их носителя, что означает невозможность их передачи другим лицам; и в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третьих, они принадлежат гражданину от рождения.  Примером могут быть: жизнь и здоровье, достоинство личности, личная неприкосновенность, честь и доброе имя, деловая репутация, неприкосновенность частной жизни, неприкосновенность жилища, личная и семейная тайна, свобода передвижения, свобода в</w:t>
      </w:r>
      <w:bookmarkStart w:id="1" w:name="_GoBack"/>
      <w:bookmarkEnd w:id="1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ыбора места пребывания и жительства, имя гражданина, авторство, иные нематериальные блага, принадлежащие гражданину от рождения или в силу закона (ст. 150 Гражданского Кодекса Российской Федерации) (далее ГК РФ).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 Метод гражданского права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left="357" w:firstLine="567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Каждая </w:t>
      </w:r>
      <w:hyperlink r:id="rId13" w:history="1">
        <w:r w:rsidRPr="00CD07CA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отрасль права</w:t>
        </w:r>
      </w:hyperlink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имеет свой специфический способ воздействия на общественные отношения, т.е. свой метод регулирования, который всецело зависит от характера и содержания регулируемых отношений. Каков предмет отрасли </w:t>
      </w:r>
      <w:hyperlink r:id="rId14" w:history="1">
        <w:r w:rsidRPr="00CD07CA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права</w:t>
        </w:r>
      </w:hyperlink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таков и ее метод.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Право есть не что иное, как регулятор общественных отношений.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Если это так, то способ воздействия на отношения выражает сущность самой отрасли права. Метод отрасли права выявляет ее юридическое содержание.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Существует общеправовой способ воздействия на общественные отношения, выражающийся в том, что любая отрасль права доводит до участников отношений определенные правила, правовые предписания, которые в процессе </w:t>
      </w:r>
      <w:hyperlink r:id="rId15" w:history="1">
        <w:r w:rsidRPr="00CD07CA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реализации права</w:t>
        </w:r>
      </w:hyperlink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трансформируются в права и обязанности участников общественных отношений. 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Главное, что отличает отрасли права одну от другой – это характер содержащихся предписаний и различное соотношение в каждой из отраслей права разного вида предписаний. Существует три вида предписаний: запрет, </w:t>
      </w:r>
      <w:proofErr w:type="spellStart"/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обязывание</w:t>
      </w:r>
      <w:proofErr w:type="spellEnd"/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дозволение. В зависимости от наличия и сочетания этих трех видов предписаний одни отрасли права являются отраслями преимущественно с запретительным регулированием (уголовное право), другие – преимущественно с обязывающим регулированием (административное, </w:t>
      </w:r>
      <w:hyperlink r:id="rId16" w:history="1">
        <w:r w:rsidRPr="00CD07CA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налоговое право</w:t>
        </w:r>
      </w:hyperlink>
      <w:r w:rsidRPr="00CD07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 и третьи – преимущественно с дозволительным регулированием (гражданское право).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Гражданско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noBreakHyphen/>
        <w:t xml:space="preserve">правовой метод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называют методом координации,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правонаделения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дозволения, горизонтальных связей, так как его характеризуют юридическое равенство участников регулируемых отношений, их имущественная самостоятельность, автономия воли. Важной чертой гражданско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правового метода служит диспозитивность многих гражданско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правовых норм (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абз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2 п. 4 ст. 421 ГК).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Диапозитивные нормы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содержат определенное общее правило (общую модель) поведения участников, допуская возможность формирования ими иной модели, если это вытекает из другого закона и (или) соглашения самих сторон. Например, риск случайной гибели или случайного повреждения имущества по общему правилу диспозитивной ст. 211 ГК несет его собственник, если иное не предусмотрено законом либо договором.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>1.3 Принципы гражданского права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Принципы представляют собой основные идеи, основные положения, образующие фундамент любой </w:t>
      </w:r>
      <w:hyperlink r:id="rId17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отрасли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 </w:t>
      </w:r>
      <w:hyperlink r:id="rId18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Принципы 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указаны в ст. 1 ГК.  Но это не означает, что принципы данной отрасли законодательства закреплены в одной этой статье. Они представляют собой основные начала, которые проходят через все </w:t>
      </w:r>
      <w:hyperlink r:id="rId19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гражданское право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, предопределяя содержание каждого из его институтов и его норм.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Гражданско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 xml:space="preserve">правовые принципы делятся на: общеправовые, отраслевые и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подотраслевые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общеправовым принципам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относятся равноправие субъектов; законность; оптимальное сочетание коллективных, общественных и частных интересов; реальность и гарантированность прав и обязанностей субъектов права.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Отраслевые принципы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включают в себя свободу договора; неприкосновенность собственности; недопустимость произвольного вмешательства в частные дела; всемерную защиту гражданских прав; восстановление нарушенных прав; свободу, инициативность и добросовестность в реализации прав и обязанностей субъектов гражданского права.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Подотраслевые</w:t>
      </w:r>
      <w:proofErr w:type="spellEnd"/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принципы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принцип права собственности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(равенство форм собственности; недопустимость лишения имущества иначе, чем по решению суда; и др.);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б)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принцип жилищного права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(неприкосновенность жилища; соблюдение санитарных, технических и бытовых требований, которым должны соответствовать жилые помещения; и др.);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принцип обязательственного права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(договорные и внедоговорные); 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принцип творческого права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(свобода творчества и свобода использования объектов творчества).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Принципы гражданского права, базирующиеся в Гражданском Кодексе РФ: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lastRenderedPageBreak/>
        <w:t xml:space="preserve">Принцип равенства участников гражданских отношений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главным образом выражается в недопустимости наделения одного из участников гражданских правоотношений властными полномочиями в отношении другого их участника. </w:t>
      </w:r>
      <w:r w:rsidRPr="00CD07CA">
        <w:rPr>
          <w:rFonts w:ascii="Times New Roman" w:eastAsia="Calibri" w:hAnsi="Times New Roman" w:cs="Times New Roman"/>
          <w:sz w:val="20"/>
          <w:szCs w:val="20"/>
        </w:rPr>
        <w:t>По сути дела, это равенство исходного правового положения </w:t>
      </w:r>
      <w:hyperlink r:id="rId20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субъектов 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и оно выражается в том, что все участники </w:t>
      </w:r>
      <w:hyperlink r:id="rId21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гражданских правоотношений наделяются одинаковой гражданской правоспособностью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как определенной мерой социальных возможностей в сфере применения гражданского права.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Иными словами, все субъекты отношений могут иметь на </w:t>
      </w:r>
      <w:hyperlink r:id="rId22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праве собственности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 или ином </w:t>
      </w:r>
      <w:hyperlink r:id="rId23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вещном праве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определенное имущество, могут приобретать это имущество, владеть, пользоваться и распоряжаться им. Все участники гражданских отношений имеют право участвовать в гражданском обороте, совершать </w:t>
      </w:r>
      <w:hyperlink r:id="rId24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сделки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заключать договоры по отчуждению или приобретению имущества, обладать </w:t>
      </w:r>
      <w:hyperlink r:id="rId25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исключительными правами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на созданные ими произведения в сфере интеллектуальной деятельности и т.д. При этом все </w:t>
      </w:r>
      <w:hyperlink r:id="rId26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граждане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вообще обладают совершенно одинаковой правоспособностью в сфере гражданского права.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Неприкосновенность собственности как принцип гражданского права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базируется прежде всего на норме ч. 3 ст. 35 Конституции, согласно которой никто не может быть лишен своего имущества иначе как по решению суда. </w:t>
      </w:r>
      <w:r w:rsidRPr="00CD07CA">
        <w:rPr>
          <w:rFonts w:ascii="Times New Roman" w:eastAsia="Calibri" w:hAnsi="Times New Roman" w:cs="Times New Roman"/>
          <w:sz w:val="20"/>
          <w:szCs w:val="20"/>
        </w:rPr>
        <w:t>Неприкосновенность собственности состоит в признании равного правового режима всех видов собственности. Любая собственность, возникшая и существующая в соответствии с Конституцией и законом, находится под охраной права и государства. Таким образом, принцип неприкосновенности собственности обусловливает необходимость существования в гражданском праве институтов, обеспечивающих </w:t>
      </w:r>
      <w:hyperlink r:id="rId27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защиту любого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 собственности от каких-либо посягательств.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Принудительное отчуждение имущества для государственных целей может быть произведено только при условии предварительного и равноценного возмещения. 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Принцип свободы договора. </w:t>
      </w:r>
      <w:r w:rsidRPr="00CD07CA">
        <w:rPr>
          <w:rFonts w:ascii="Times New Roman" w:eastAsia="Calibri" w:hAnsi="Times New Roman" w:cs="Times New Roman"/>
          <w:sz w:val="20"/>
          <w:szCs w:val="20"/>
        </w:rPr>
        <w:t>Свобода договора выражается, во-первых, в том, что любой участник гражданского оборота вправе самостоятельно решать – заключать договор или не заключать. Во-вторых, свобода договора выражается в выборе контрагента – лиц, с которыми договор или договоры будут заключены. В-третьих, сами договаривающиеся стороны решают, какой именно договор будет заключен между ними. В-четвертых, стороны сами определяют условия договора, т.е. определяют предмет договора, права и обязанности, содержание </w:t>
      </w:r>
      <w:hyperlink r:id="rId28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обязательств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которые они между собой устанавливают.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Принцип недопустимости произвольного вмешательства в частные дела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выражается в недопустимости для органов государственной власти и местного самоуправления вмешиваться в частные дела субъектов гражданского оборота, а также в недопустимости вмешательства в частные дела субъектов гражданского оборота третьих лиц, если только последние не связаны с ними договорными отношениями.</w:t>
      </w: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Под произвольным следует понимать вмешательство, не основанное на законе. Для допущения вмешательства нужно, чтобы оно было прямо предусмотрено законом в виде определенных законом полномочий того или иного </w:t>
      </w:r>
      <w:hyperlink r:id="rId29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государственного органа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или представителя </w:t>
      </w:r>
      <w:hyperlink r:id="rId30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власти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Принцип беспрепятственного осуществления гражданских прав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первую очередь основывается на Конституции. В ч. 1 ст. 34 Конституции говорится, что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 Таким образом, принцип беспрепятственного осуществления гражданских прав означает, что субъекты гражданского оборота осуществляют свои гражданские права не по воле других лиц, а по собственному усмотрению, т. е. они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свободны в установлении своих прав и обязанностей.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Принцип обеспечения восстановления нарушенных прав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достигается при помощи различных способов защиты прав, закрепленных в ст. 12 ГК. Среди указанных способов законодатель особо выделяет и возводит в ранг принципа гражданского права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восстановление положения, существовавшего до нарушения права, и пресечение действий, нарушающих право или создающих угрозу его нарушения.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Восстановление прав представляет собой их возвращение титульному владельцу. При этом возврат имущественных прав не обязательно выступает мерой защиты права; он может быть и действием, завершающим договорные отношения. Например, согласно п. 1 ст. 622 ГК при прекращении договора аренды арендатор обязан вернуть арендодателю его имущество.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Принцип судебной защиты гражданских прав 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носит общегражданский конституционный характер. В частности, в ст. 11 ГК предусмотрено, что судебной защите подлежат права, нарушенные или хотя и не нарушенные, но оспоренные (например, два лица оспаривают одно и то же имущественное право на определенный </w:t>
      </w:r>
      <w:proofErr w:type="spellStart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правоохраняемый</w:t>
      </w:r>
      <w:proofErr w:type="spellEnd"/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 – право собственности на квартиру и т. п.). При этом защита нарушенных или оспоренных гражданских прав осуществляется в соответствии с подведомственностью дел, установленной процессуальным законодательством.</w:t>
      </w:r>
    </w:p>
    <w:p w:rsidR="00CD07CA" w:rsidRPr="00CD07CA" w:rsidRDefault="00CD07CA" w:rsidP="00CD0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07CA" w:rsidRPr="00CD07CA" w:rsidRDefault="00CD07CA" w:rsidP="00CD0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>1.4 Функции гражданского права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 Функции отрасли права – это основные направления правового воздействия на поведение субъектов права посредством правовых норм.</w:t>
      </w: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Основными функциями гражданского права являются:</w:t>
      </w:r>
    </w:p>
    <w:p w:rsidR="00CD07CA" w:rsidRPr="00CD07CA" w:rsidRDefault="00CD07CA" w:rsidP="00CD07CA">
      <w:pPr>
        <w:numPr>
          <w:ilvl w:val="0"/>
          <w:numId w:val="1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регулятивная — обеспечивает воздействие гражданского права на нормально существующие отношения путем наделения сторон правами и обязанностями;</w:t>
      </w:r>
    </w:p>
    <w:p w:rsidR="00CD07CA" w:rsidRPr="00CD07CA" w:rsidRDefault="00CD07CA" w:rsidP="00CD07CA">
      <w:pPr>
        <w:numPr>
          <w:ilvl w:val="0"/>
          <w:numId w:val="13"/>
        </w:numPr>
        <w:spacing w:after="12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охранительная - обеспечивает возмещение ущерба, причиненного участникам гражданских правоотношений вследствие нарушения их законных прав, а также восстановление нарушенных личных неимущественных прав граждан и организаций;</w:t>
      </w:r>
    </w:p>
    <w:p w:rsidR="00CD07CA" w:rsidRPr="00CD07CA" w:rsidRDefault="00CD07CA" w:rsidP="00CD07CA">
      <w:pPr>
        <w:numPr>
          <w:ilvl w:val="0"/>
          <w:numId w:val="13"/>
        </w:numPr>
        <w:spacing w:after="12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7C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превентивно-воспитательная функция побуждает участников к правомерному поведению, к недопущению гражданских правонарушений.</w:t>
      </w:r>
    </w:p>
    <w:p w:rsidR="00CD07CA" w:rsidRPr="00CD07CA" w:rsidRDefault="00CD07CA" w:rsidP="00CD07CA">
      <w:pPr>
        <w:spacing w:after="0" w:line="240" w:lineRule="auto"/>
        <w:ind w:left="360" w:firstLine="567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CD07CA" w:rsidRPr="00CD07CA" w:rsidRDefault="00CD07CA" w:rsidP="00CD0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>1.5 Система гражданского права</w:t>
      </w:r>
    </w:p>
    <w:p w:rsidR="00CD07CA" w:rsidRPr="00CD07CA" w:rsidRDefault="00CD07CA" w:rsidP="00CD07CA">
      <w:pPr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Система гражданского права представляет собой совокупность его институтов во взаимосвязи и определенной логической последовательности.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Основными элементами системы </w:t>
      </w:r>
      <w:hyperlink r:id="rId31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 являются его общая и особенная части. 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Общая часть гражданского права представляет собой объединение общих норм этой отрасли, т.е. тех правил, которые применяются для регулирования любого отношения, охватываемого гражданским правом.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В особенную же часть входят те нормы и институты, каждый из которых применяется к определенному виду отношений, регулируемых данной </w:t>
      </w:r>
      <w:hyperlink r:id="rId32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отраслью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Особенная часть гражданского права представляет собой совокупность крупных подразделений, каждое из которых своим регулированием охватывает часть предмета гражданского права. Основные подразделения – это </w:t>
      </w:r>
      <w:hyperlink r:id="rId33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право собственности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 </w:t>
      </w:r>
      <w:hyperlink r:id="rId34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обязательственное право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 </w:t>
      </w:r>
      <w:hyperlink r:id="rId35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наследственное право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 </w:t>
      </w:r>
      <w:hyperlink r:id="rId36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право интеллектуальной собственности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 В основе деления особенной части на составляющие лежат особенности самих регулируемых гражданским правом отношений. Но имеется также дифференциация и по юридическому содержанию норм, по методу воздействия на опосредуемые отношения.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</w:t>
      </w:r>
    </w:p>
    <w:p w:rsidR="00CD07CA" w:rsidRPr="00CD07CA" w:rsidRDefault="00CD07CA" w:rsidP="00CD0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>1.6 Гражданское право в системе права</w:t>
      </w:r>
    </w:p>
    <w:p w:rsidR="00CD07CA" w:rsidRPr="00CD07CA" w:rsidRDefault="00CD07CA" w:rsidP="00CD07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37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Гражданское право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является одной из </w:t>
      </w:r>
      <w:hyperlink r:id="rId38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отраслей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входящих в </w:t>
      </w:r>
      <w:hyperlink r:id="rId39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систему российского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 Это означает, что само гражданское </w:t>
      </w:r>
      <w:hyperlink r:id="rId40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право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его институты применяются не как нечто абсолютно обособленное и самодовлеющее, а в определенной системе, во взаимодействии с другими отраслями права.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Отрасли права, образующие систему российского права, делятся на три группы:</w:t>
      </w:r>
    </w:p>
    <w:p w:rsidR="00CD07CA" w:rsidRPr="00CD07CA" w:rsidRDefault="00CD07CA" w:rsidP="00CD07C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государственно-правовые (конституционное, административное, финансовое право);</w:t>
      </w:r>
    </w:p>
    <w:p w:rsidR="00CD07CA" w:rsidRPr="00CD07CA" w:rsidRDefault="00CD07CA" w:rsidP="00CD07C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гражданско-правовые (гражданское, семейное, трудовое, земельное право, гражданский процесс); </w:t>
      </w:r>
    </w:p>
    <w:p w:rsidR="00CD07CA" w:rsidRPr="00CD07CA" w:rsidRDefault="00CD07CA" w:rsidP="00CD07C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уголовно-правовые (уголовное право, уголовный процесс, криминалистика).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Гражданское право связано с каждой из этих отраслей права в большей или меньшей степени. Так, с конституционным правом связаны положения, касающиеся регулирования деятельности государства, его субъектов, муниципальных образований, конкретизирующие права и свободы граждан.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С административным правом гражданское право сближает то, что обе эти отрасли регулируют имущественные отношения. Однако это разные отношения: в административном праве – организационные, участники которых не равны, в гражданском прав – стоимостные отношения равных субъектов гражданского права. </w:t>
      </w:r>
      <w:r w:rsidRPr="00CD07CA">
        <w:rPr>
          <w:rFonts w:ascii="Times New Roman" w:eastAsia="Calibri" w:hAnsi="Times New Roman" w:cs="Times New Roman"/>
          <w:sz w:val="20"/>
          <w:szCs w:val="20"/>
        </w:rPr>
        <w:br/>
        <w:t>Выделившиеся из гражданского права отрасли трудового и семейного права сближает с гражданским правом то, что эти отрасли регулируют имущественные и личные неимущественные отношения.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Гражданское право и </w:t>
      </w:r>
      <w:hyperlink r:id="rId41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уголовное право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разграничиваются легко, поскольку речь идет о совершенно разных и во многом даже противоположных отраслях права. Уголовное право регулирует отношения, в которых в обязательном порядке участвует государство, устанавливающее запреты на совершение общественно опасного поведения с установлением мер </w:t>
      </w:r>
      <w:hyperlink r:id="rId42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уголовной ответственности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 </w:t>
      </w:r>
      <w:hyperlink r:id="rId43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уголовного наказания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за нарушение этих запретов. Следовательно, уголовное право регулирует отношения, основанные на власти и подчинении сторон, и в качестве основного правового предписания использует запреты с возложением за их нарушение мер уголовной ответственности.</w:t>
      </w:r>
      <w:r w:rsidRPr="00CD07CA">
        <w:rPr>
          <w:rFonts w:ascii="Times New Roman" w:eastAsia="Calibri" w:hAnsi="Times New Roman" w:cs="Times New Roman"/>
          <w:sz w:val="20"/>
          <w:szCs w:val="20"/>
        </w:rPr>
        <w:br/>
      </w: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</w:t>
      </w:r>
    </w:p>
    <w:p w:rsidR="00CD07CA" w:rsidRPr="00CD07CA" w:rsidRDefault="00CD07CA" w:rsidP="00CD07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>1.7 Источники гражданского права</w:t>
      </w:r>
    </w:p>
    <w:p w:rsidR="00CD07CA" w:rsidRPr="00CD07CA" w:rsidRDefault="00CD07CA" w:rsidP="00CD07CA">
      <w:pPr>
        <w:spacing w:after="0" w:line="240" w:lineRule="auto"/>
        <w:ind w:left="644" w:firstLine="567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CD07CA" w:rsidRPr="00CD07CA" w:rsidRDefault="00CD07CA" w:rsidP="00CD07CA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hyperlink r:id="rId44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Гражданское законодательство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– это система </w:t>
      </w:r>
      <w:hyperlink r:id="rId45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законов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регулирующих гражданские правоотношения.  Источник гражданского права – это внешняя форма выражения права.  К источникам </w:t>
      </w:r>
      <w:hyperlink r:id="rId46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относятся акты, содержащие соответствующие нормы, регулирующие гражданские правоотношения.</w:t>
      </w:r>
    </w:p>
    <w:p w:rsidR="00CD07CA" w:rsidRPr="00CD07CA" w:rsidRDefault="00CD07CA" w:rsidP="00CD07CA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В соответствии с </w:t>
      </w:r>
      <w:hyperlink r:id="rId47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Конституцией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гражданское законодательство находится в ведении Российской Федерации (п. «о» ст. 71). На основании ч. 1 ст. 76 Конституции по предметам ведения Российской Федерации принимаются федеральные конституционные законы и федеральные законы, имеющие прямое действие на всей </w:t>
      </w:r>
      <w:hyperlink r:id="rId48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территории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России. Акты гражданского законодательства базируются на Конституции.</w:t>
      </w:r>
    </w:p>
    <w:p w:rsidR="00CD07CA" w:rsidRPr="00CD07CA" w:rsidRDefault="00CD07CA" w:rsidP="00CD07CA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Система источников гражданского права образует иерархическую лестницу, в зависимости от своей юридической силы. </w:t>
      </w:r>
    </w:p>
    <w:p w:rsidR="00CD07CA" w:rsidRPr="00CD07CA" w:rsidRDefault="00CD07CA" w:rsidP="00CD07CA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На высшей ступени иерархической лестницы стоит Конституция РФ. </w:t>
      </w:r>
      <w:r w:rsidRPr="00CD07CA">
        <w:rPr>
          <w:rFonts w:ascii="Times New Roman" w:eastAsia="Calibri" w:hAnsi="Times New Roman" w:cs="Times New Roman"/>
          <w:iCs/>
          <w:sz w:val="20"/>
          <w:szCs w:val="20"/>
        </w:rPr>
        <w:t xml:space="preserve">Конституция Российской Федерации, </w:t>
      </w:r>
      <w:r w:rsidRPr="00CD07CA">
        <w:rPr>
          <w:rFonts w:ascii="Times New Roman" w:eastAsia="Calibri" w:hAnsi="Times New Roman" w:cs="Times New Roman"/>
          <w:sz w:val="20"/>
          <w:szCs w:val="20"/>
        </w:rPr>
        <w:t>имеющая высшую юридическую силу, прямое действие и применяемая на всей территории РФ, является фундаментом гражданского законодательства.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lastRenderedPageBreak/>
        <w:t>Далее следуют за Конституцией РФ федеральные законы. Федеральных законов, содержащих </w:t>
      </w:r>
      <w:hyperlink r:id="rId49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нормы 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очень много. Их можно классифицировать по разным основаниям. Например, Закон об актах гражданского состояния, Закон об </w:t>
      </w:r>
      <w:hyperlink r:id="rId50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обществах с ограниченной ответственностью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Закон о государственной регистрации </w:t>
      </w:r>
      <w:hyperlink r:id="rId51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юридических лиц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 индивидуальных </w:t>
      </w:r>
      <w:hyperlink r:id="rId52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предпринимателей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 др.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Особо следует выделить кодифицированные акты, содержащие гражданско-правовые нормы. Это Земельный, Жилищный, Семейный, Трудовой, Лесной, Воздушный, Водный, Градостроительный кодексы, Кодекс торгового мореплавания, Кодекс внутреннего водного транспорта и некоторые другие. Среди кодифицированных источников гражданского права особое место занимает Гражданский Кодекс РФ. Он был принят</w:t>
      </w:r>
      <w:r w:rsidRPr="00CD07CA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CD07CA">
        <w:rPr>
          <w:rFonts w:ascii="Times New Roman" w:eastAsia="Calibri" w:hAnsi="Times New Roman" w:cs="Times New Roman"/>
          <w:sz w:val="20"/>
          <w:szCs w:val="20"/>
        </w:rPr>
        <w:t>21 октября 1994 года. Состоит из 4 частей, 1551 статьи.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 В силу правила, установленного в </w:t>
      </w:r>
      <w:proofErr w:type="spellStart"/>
      <w:r w:rsidRPr="00CD07CA">
        <w:rPr>
          <w:rFonts w:ascii="Times New Roman" w:eastAsia="Calibri" w:hAnsi="Times New Roman" w:cs="Times New Roman"/>
          <w:sz w:val="20"/>
          <w:szCs w:val="20"/>
        </w:rPr>
        <w:t>абз</w:t>
      </w:r>
      <w:proofErr w:type="spellEnd"/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. 2 п. 2 ст. 3 Гражданского кодекса, нормы гражданского права, содержащиеся в других законах, должны соответствовать Гражданскому кодексу. Очевидно, есть основания рассматривать это правило, как презумпцию верховенства Гражданского кодекса над другими законами, содержащими нормы гражданского права.  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Далее по юридической силе следуют указы  </w:t>
      </w:r>
      <w:hyperlink r:id="rId53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Президента РФ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 Постановления  </w:t>
      </w:r>
      <w:hyperlink r:id="rId54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Правительства РФ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 Акты Президента РФ и Правительства РФ, содержащие </w:t>
      </w:r>
      <w:hyperlink r:id="rId55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нормы 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именуются иными правовыми актами. Такие акты должны приниматься на основании Гражданского кодекса, других федеральных </w:t>
      </w:r>
      <w:hyperlink r:id="rId56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законов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 не противоречить им.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Федеральные </w:t>
      </w:r>
      <w:hyperlink r:id="rId57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органы исполнительной власти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могут издавать акты, содержащие нормы </w:t>
      </w:r>
      <w:hyperlink r:id="rId58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в случаях и пределах, предусмотренных  Гражданским Кодексом, другими законами либо иными правовыми актами.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Далее по своей юридической силе следуют нормативно-правовые акты субъектов РФ (акты законодательного органа, указы президентов и глав республик, акты органов исполнительной власти).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Предпоследнюю ступеньку иерархической лестницы нормативно-правовых актов занимают акты органов местного самоуправления (акты мэрии, администраций районов, городов и </w:t>
      </w:r>
      <w:proofErr w:type="spellStart"/>
      <w:r w:rsidRPr="00CD07CA">
        <w:rPr>
          <w:rFonts w:ascii="Times New Roman" w:eastAsia="Calibri" w:hAnsi="Times New Roman" w:cs="Times New Roman"/>
          <w:sz w:val="20"/>
          <w:szCs w:val="20"/>
        </w:rPr>
        <w:t>т.д</w:t>
      </w:r>
      <w:proofErr w:type="spellEnd"/>
      <w:r w:rsidRPr="00CD07CA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Наименьшую юридическую силу имеют локальные акты, которые принимаются в пределах определенной организации, учреждения, предприятия и не являются обязательными для других организаций. Это уставы, распоряжения руководителей, приказы, инструкции и т.д.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Особое место среди источников гражданского права занимают международные договора и нормы международного права. </w:t>
      </w:r>
      <w:hyperlink r:id="rId59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Международные договоры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в которых участвует Российская Федерация, также могут регулировать гражданские отношения. В соответствии с п. 1 ст. 7 ГК общепризнанные принципы и </w:t>
      </w:r>
      <w:hyperlink r:id="rId60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нормы международного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и международные </w:t>
      </w:r>
      <w:hyperlink r:id="rId61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договоры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Российской Федерации являются согласно </w:t>
      </w:r>
      <w:hyperlink r:id="rId62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Конституции РФ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составной частью </w:t>
      </w:r>
      <w:hyperlink r:id="rId63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правовой системы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 xml:space="preserve"> Российской Федерации. 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В ч. 4 ст. 15 Конституции указывается на то, что если международным договором Российской Федерации установлены иные правила, чем предусмотренные </w:t>
      </w:r>
      <w:hyperlink r:id="rId64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, то применяются правила международного договора.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Источником </w:t>
      </w:r>
      <w:hyperlink r:id="rId65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гражданского права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 также является </w:t>
      </w:r>
      <w:hyperlink r:id="rId66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обычай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 Согласно п. 1 ст. 5 ГК обычаем признается сложившееся и широко применяемое в какой-либо области предпринимательской или иной деятельности, не предусмотренное законодательством правило поведения, независимо от того, зафиксировано ли оно в каком-либо документе. Речь может идти об экономических или, например, о наследственных отношениях.</w:t>
      </w:r>
    </w:p>
    <w:p w:rsidR="00CD07CA" w:rsidRPr="00CD07CA" w:rsidRDefault="00CD07CA" w:rsidP="00CD07C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07CA">
        <w:rPr>
          <w:rFonts w:ascii="Times New Roman" w:eastAsia="Calibri" w:hAnsi="Times New Roman" w:cs="Times New Roman"/>
          <w:sz w:val="20"/>
          <w:szCs w:val="20"/>
        </w:rPr>
        <w:t>Важно, чтобы обычай не противоречил законодательству или </w:t>
      </w:r>
      <w:hyperlink r:id="rId67" w:history="1">
        <w:r w:rsidRPr="00CD07CA">
          <w:rPr>
            <w:rFonts w:ascii="Times New Roman" w:eastAsia="Calibri" w:hAnsi="Times New Roman" w:cs="Times New Roman"/>
            <w:sz w:val="20"/>
            <w:szCs w:val="20"/>
          </w:rPr>
          <w:t>договору</w:t>
        </w:r>
      </w:hyperlink>
      <w:r w:rsidRPr="00CD07C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Аналогия. </w:t>
      </w:r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Как бы ни развивалось законодательство, в нем неизбежны пробелы. Под словом «пробел» понимается упущение, недостаток. </w:t>
      </w:r>
      <w:r w:rsidRPr="00CD07CA">
        <w:rPr>
          <w:rFonts w:ascii="Times New Roman" w:eastAsia="Times New Roman" w:hAnsi="Times New Roman" w:cs="Times New Roman"/>
          <w:iCs/>
          <w:sz w:val="20"/>
          <w:szCs w:val="20"/>
        </w:rPr>
        <w:t>Эти пробелы восполняются путем применения к общественным отношениям аналогии закона и аналогии права.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В случаях, когда предусмотренные </w:t>
      </w:r>
      <w:hyperlink r:id="rId68" w:anchor="dst235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п.1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hyperlink r:id="rId69" w:anchor="dst100021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2 ст. 2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 ГК отношения прямо не урегулированы законодательством или соглашением сторон и отсутствует применимый к ним обычай, к таким отношениям, если это не противоречит их существу, применяется гражданское законодательство, регулирующее сходные отношения </w:t>
      </w:r>
      <w:r w:rsidRPr="00CD07CA">
        <w:rPr>
          <w:rFonts w:ascii="Times New Roman" w:eastAsia="Times New Roman" w:hAnsi="Times New Roman" w:cs="Times New Roman"/>
          <w:b/>
          <w:sz w:val="20"/>
          <w:szCs w:val="20"/>
        </w:rPr>
        <w:t xml:space="preserve">(аналогия закона) </w:t>
      </w:r>
      <w:r w:rsidRPr="00CD07CA">
        <w:rPr>
          <w:rFonts w:ascii="Times New Roman" w:eastAsia="Times New Roman" w:hAnsi="Times New Roman" w:cs="Times New Roman"/>
          <w:sz w:val="20"/>
          <w:szCs w:val="20"/>
        </w:rPr>
        <w:t>(п.1 ст.6. ГК РФ).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При невозможности использовать аналогию закона применяется </w:t>
      </w:r>
      <w:r w:rsidRPr="00CD07CA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аналогия права: </w:t>
      </w:r>
      <w:r w:rsidRPr="00CD07CA">
        <w:rPr>
          <w:rFonts w:ascii="Times New Roman" w:eastAsia="Times New Roman" w:hAnsi="Times New Roman" w:cs="Times New Roman"/>
          <w:sz w:val="20"/>
          <w:szCs w:val="20"/>
        </w:rPr>
        <w:t>права и обязанности сторон определяются исходя из общих начал, принципов и смысла гражданского законодательства, регулирующих сходные отношения, а также требований добросовестности, разумности и справедливости.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D07C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Действие гражданского законодательства во времени, по кругу лиц и в пространстве. </w:t>
      </w:r>
      <w:r w:rsidRPr="00CD07CA">
        <w:rPr>
          <w:rFonts w:ascii="Times New Roman" w:eastAsia="Times New Roman" w:hAnsi="Times New Roman" w:cs="Times New Roman"/>
          <w:sz w:val="20"/>
          <w:szCs w:val="20"/>
        </w:rPr>
        <w:t>Акты </w:t>
      </w:r>
      <w:hyperlink r:id="rId70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гражданского законодательства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 по общему правилу не имеют обратной силы. Исключение из общего правила возможно, если оно прямо указано в </w:t>
      </w:r>
      <w:hyperlink r:id="rId71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законе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. Так, в п. 2 ст. 422 ГК указывается на то, что «если после </w:t>
      </w:r>
      <w:hyperlink r:id="rId72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заключения договора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 принят закон, устанавливающий обязательные для сторон правила иные, чем те, которые действовали при заключении </w:t>
      </w:r>
      <w:hyperlink r:id="rId73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договора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, условия заключенного договора сохраняют силу, кроме случаев, когда в законе установлено, что его действие распространяется на отношения, возникшие из ранее заключенных договоров».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Вступлению в силу </w:t>
      </w:r>
      <w:hyperlink r:id="rId74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нормативного правового акта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 обязательно предшествует публикация текста документа, иногда акт вступает в силу с момента публикации.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На основании ст. 15 </w:t>
      </w:r>
      <w:hyperlink r:id="rId75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Конституции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 законы подлежат официальному опубликованию. Неопубликованные законы не применяются.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</w:t>
      </w:r>
      <w:bookmarkStart w:id="2" w:name="_Hlk41817940"/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Федеральным законом от 14 июня 1994 г. № 5-ФЗ «О порядке опубликования и вступления в силу федеральных конституционных законов, федеральных законов, актов палат Федерального Собрания» </w:t>
      </w:r>
      <w:bookmarkEnd w:id="2"/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федеральные конституционные законы и федеральные законы подлежат официальному </w:t>
      </w:r>
      <w:r w:rsidRPr="00CD07CA">
        <w:rPr>
          <w:rFonts w:ascii="Times New Roman" w:eastAsia="Times New Roman" w:hAnsi="Times New Roman" w:cs="Times New Roman"/>
          <w:sz w:val="20"/>
          <w:szCs w:val="20"/>
        </w:rPr>
        <w:lastRenderedPageBreak/>
        <w:t>опубликованию в течение семи дней после дня их подписания </w:t>
      </w:r>
      <w:hyperlink r:id="rId76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Президентом РФ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. Акты палат Федерального Собрания публикуются не позднее десяти дней после дня их принятия. Международные договоры, ратифицированные Федеральным Собранием, публикуются одновременно с федеральными законами об их ратификации.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Датой принятия федерального закона считается день принятия его Государственной Думой в окончательной редакции. Датой принятия федерального конституционного закона считается день, когда он одобрен палатами Федерального Собрания в порядке, установленном Конституцией Российской Федерации. 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4 Федерального закона от 14 июня 1994 г. № 5-ФЗ «О порядке опубликования и вступления в силу федеральных конституционных законов, федеральных законов, актов палат Федерального Собрания» официальным опубликованием федерального конституционного закона, федерального закона, акта палаты Федерального Собрания считается первая публикация его полного текста в «Парламентской газете», «Российской газете», «Собрании законодательства Российской Федерации» или первое размещение (опубликование) на «Официальном интернет-портале правовой информации» (www.pravo.gov.ru).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Федеральные конституционные законы, федеральные законы направляются для официального опубликования Президентом Российской Федерации. Акты палат Федерального Собрания направляются для официального опубликования председателем соответствующей палаты или его заместителем.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По общему правилу, основанному на ст. 6 названного Федерального закона, федеральные конституционные законы, федеральные законы, акты палат Федерального Собрания вступают в силу одновременно на всей </w:t>
      </w:r>
      <w:hyperlink r:id="rId77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территории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 Российской Федерации по истечении 10 дней после дня их официального опубликования, однако в самой статье есть оговорка: «...если самими законами или актами обеих палат не установлен другой порядок вступления их в силу». Зачастую в тексте закона говорится о вступлении в силу с момента опубликования, иногда указывается дата.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Часть первая Гражданского кодекса была опубликована в «Российской газете» 8 декабря 1994 г., однако в силу указания Закона о введении в действие части первой ГК введена в действие 1 января 1995 г., за исключением гл. 4, посвященной </w:t>
      </w:r>
      <w:hyperlink r:id="rId78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юридическим лицам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 (вступила в силу 8 декабря 1994 г.), и гл. 17, посвященной </w:t>
      </w:r>
      <w:hyperlink r:id="rId79" w:history="1">
        <w:r w:rsidRPr="00CD07CA">
          <w:rPr>
            <w:rFonts w:ascii="Times New Roman" w:eastAsia="Times New Roman" w:hAnsi="Times New Roman" w:cs="Times New Roman"/>
            <w:sz w:val="20"/>
            <w:szCs w:val="20"/>
          </w:rPr>
          <w:t>праву собственности</w:t>
        </w:r>
      </w:hyperlink>
      <w:r w:rsidRPr="00CD07CA">
        <w:rPr>
          <w:rFonts w:ascii="Times New Roman" w:eastAsia="Times New Roman" w:hAnsi="Times New Roman" w:cs="Times New Roman"/>
          <w:sz w:val="20"/>
          <w:szCs w:val="20"/>
        </w:rPr>
        <w:t> на землю (вступила в силу 23 апреля 2001 г.). Часть вторая ГК была опубликована 29 января 1996 г., однако в силу указания Закона о введении в действие части второй ГК введена в действие 1 марта 1996 г. Часть третья ГК была опубликована 28 ноября 2001 г., однако в силу указания Закона о введении в действие части третьей ГК введена в действие 1 марта 2002 г. Часть четвертая ГК была опубликована 21 декабря 2006 г., однако в силу указания Закона о введении в действие части четвертой ГК введена в действие 1 января 2008 г.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 xml:space="preserve"> Гражданское законодательство действует на территории всей РФ. К территории Российской Федерации следует добавить территорию российских дипломатических представительств, а также суда, приписанные к порту Российской Федерации, находящемуся в открытом водном или воздушном пространстве вне пределов Российской Федерации.</w:t>
      </w:r>
    </w:p>
    <w:p w:rsidR="00CD07CA" w:rsidRPr="00CD07CA" w:rsidRDefault="00CD07CA" w:rsidP="00CD0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07CA">
        <w:rPr>
          <w:rFonts w:ascii="Times New Roman" w:eastAsia="Times New Roman" w:hAnsi="Times New Roman" w:cs="Times New Roman"/>
          <w:sz w:val="20"/>
          <w:szCs w:val="20"/>
        </w:rPr>
        <w:t>Гражданское законодательство является обязательным для всех граждан РФ, а также для иностранных граждан, иностранных юридических лиц и лиц без гражданства.</w:t>
      </w:r>
    </w:p>
    <w:p w:rsidR="00DB2255" w:rsidRPr="00ED12BE" w:rsidRDefault="00DB2255" w:rsidP="00CD07C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B2255" w:rsidRPr="00ED12BE" w:rsidSect="00DB2255">
      <w:pgSz w:w="11900" w:h="16840"/>
      <w:pgMar w:top="1060" w:right="720" w:bottom="1220" w:left="160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0C04" w:rsidRDefault="00C80C04">
      <w:pPr>
        <w:spacing w:after="0" w:line="240" w:lineRule="auto"/>
      </w:pPr>
      <w:r>
        <w:separator/>
      </w:r>
    </w:p>
  </w:endnote>
  <w:endnote w:type="continuationSeparator" w:id="0">
    <w:p w:rsidR="00C80C04" w:rsidRDefault="00C8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0C04" w:rsidRDefault="00C80C04">
      <w:pPr>
        <w:spacing w:after="0" w:line="240" w:lineRule="auto"/>
      </w:pPr>
      <w:r>
        <w:separator/>
      </w:r>
    </w:p>
  </w:footnote>
  <w:footnote w:type="continuationSeparator" w:id="0">
    <w:p w:rsidR="00C80C04" w:rsidRDefault="00C80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C5655"/>
    <w:multiLevelType w:val="hybridMultilevel"/>
    <w:tmpl w:val="701AEF82"/>
    <w:lvl w:ilvl="0" w:tplc="CD2CC144">
      <w:start w:val="13"/>
      <w:numFmt w:val="decimal"/>
      <w:lvlText w:val="%1"/>
      <w:lvlJc w:val="left"/>
      <w:pPr>
        <w:ind w:left="104" w:hanging="438"/>
      </w:pPr>
      <w:rPr>
        <w:rFonts w:ascii="Verdana" w:eastAsia="Verdana" w:hAnsi="Verdana" w:cs="Verdana" w:hint="default"/>
        <w:color w:val="355E90"/>
        <w:spacing w:val="-1"/>
        <w:w w:val="100"/>
        <w:sz w:val="28"/>
        <w:szCs w:val="28"/>
        <w:lang w:val="ru-RU" w:eastAsia="en-US" w:bidi="ar-SA"/>
      </w:rPr>
    </w:lvl>
    <w:lvl w:ilvl="1" w:tplc="DEA64102">
      <w:start w:val="1"/>
      <w:numFmt w:val="decimal"/>
      <w:lvlText w:val="%2)"/>
      <w:lvlJc w:val="left"/>
      <w:pPr>
        <w:ind w:left="104" w:hanging="30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3D16C8BC">
      <w:numFmt w:val="bullet"/>
      <w:lvlText w:val="•"/>
      <w:lvlJc w:val="left"/>
      <w:pPr>
        <w:ind w:left="1996" w:hanging="308"/>
      </w:pPr>
      <w:rPr>
        <w:rFonts w:hint="default"/>
        <w:lang w:val="ru-RU" w:eastAsia="en-US" w:bidi="ar-SA"/>
      </w:rPr>
    </w:lvl>
    <w:lvl w:ilvl="3" w:tplc="717877B0">
      <w:numFmt w:val="bullet"/>
      <w:lvlText w:val="•"/>
      <w:lvlJc w:val="left"/>
      <w:pPr>
        <w:ind w:left="2944" w:hanging="308"/>
      </w:pPr>
      <w:rPr>
        <w:rFonts w:hint="default"/>
        <w:lang w:val="ru-RU" w:eastAsia="en-US" w:bidi="ar-SA"/>
      </w:rPr>
    </w:lvl>
    <w:lvl w:ilvl="4" w:tplc="32D0D0E6">
      <w:numFmt w:val="bullet"/>
      <w:lvlText w:val="•"/>
      <w:lvlJc w:val="left"/>
      <w:pPr>
        <w:ind w:left="3892" w:hanging="308"/>
      </w:pPr>
      <w:rPr>
        <w:rFonts w:hint="default"/>
        <w:lang w:val="ru-RU" w:eastAsia="en-US" w:bidi="ar-SA"/>
      </w:rPr>
    </w:lvl>
    <w:lvl w:ilvl="5" w:tplc="88602A22">
      <w:numFmt w:val="bullet"/>
      <w:lvlText w:val="•"/>
      <w:lvlJc w:val="left"/>
      <w:pPr>
        <w:ind w:left="4840" w:hanging="308"/>
      </w:pPr>
      <w:rPr>
        <w:rFonts w:hint="default"/>
        <w:lang w:val="ru-RU" w:eastAsia="en-US" w:bidi="ar-SA"/>
      </w:rPr>
    </w:lvl>
    <w:lvl w:ilvl="6" w:tplc="CB5AB480">
      <w:numFmt w:val="bullet"/>
      <w:lvlText w:val="•"/>
      <w:lvlJc w:val="left"/>
      <w:pPr>
        <w:ind w:left="5788" w:hanging="308"/>
      </w:pPr>
      <w:rPr>
        <w:rFonts w:hint="default"/>
        <w:lang w:val="ru-RU" w:eastAsia="en-US" w:bidi="ar-SA"/>
      </w:rPr>
    </w:lvl>
    <w:lvl w:ilvl="7" w:tplc="1BBA36BE">
      <w:numFmt w:val="bullet"/>
      <w:lvlText w:val="•"/>
      <w:lvlJc w:val="left"/>
      <w:pPr>
        <w:ind w:left="6736" w:hanging="308"/>
      </w:pPr>
      <w:rPr>
        <w:rFonts w:hint="default"/>
        <w:lang w:val="ru-RU" w:eastAsia="en-US" w:bidi="ar-SA"/>
      </w:rPr>
    </w:lvl>
    <w:lvl w:ilvl="8" w:tplc="A75E7410">
      <w:numFmt w:val="bullet"/>
      <w:lvlText w:val="•"/>
      <w:lvlJc w:val="left"/>
      <w:pPr>
        <w:ind w:left="7684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0665011D"/>
    <w:multiLevelType w:val="multilevel"/>
    <w:tmpl w:val="C5F876A6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eastAsiaTheme="minorHAnsi" w:hint="default"/>
      </w:rPr>
    </w:lvl>
  </w:abstractNum>
  <w:abstractNum w:abstractNumId="2" w15:restartNumberingAfterBreak="0">
    <w:nsid w:val="138925D5"/>
    <w:multiLevelType w:val="hybridMultilevel"/>
    <w:tmpl w:val="3FD8C864"/>
    <w:lvl w:ilvl="0" w:tplc="574428C8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4CB9F0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D6D400D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0110414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0406A9FE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05D649E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647EB564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37588EA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E6B8DAD6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BB01E9"/>
    <w:multiLevelType w:val="multilevel"/>
    <w:tmpl w:val="A87C16AA"/>
    <w:lvl w:ilvl="0">
      <w:start w:val="1"/>
      <w:numFmt w:val="decimal"/>
      <w:lvlText w:val="%1"/>
      <w:lvlJc w:val="left"/>
      <w:pPr>
        <w:ind w:left="82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" w:hanging="272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6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3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258237F6"/>
    <w:multiLevelType w:val="hybridMultilevel"/>
    <w:tmpl w:val="190EA97E"/>
    <w:lvl w:ilvl="0" w:tplc="EE7A415A">
      <w:numFmt w:val="bullet"/>
      <w:lvlText w:val="-"/>
      <w:lvlJc w:val="left"/>
      <w:pPr>
        <w:ind w:left="824" w:hanging="360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A1105EA8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C1F20A0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316686A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91E44EEC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44DCFF9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FD648F52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B70A9D52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00CCD622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C5F7CD4"/>
    <w:multiLevelType w:val="hybridMultilevel"/>
    <w:tmpl w:val="5B38FFB4"/>
    <w:lvl w:ilvl="0" w:tplc="2E583590">
      <w:start w:val="1"/>
      <w:numFmt w:val="decimal"/>
      <w:lvlText w:val="%1."/>
      <w:lvlJc w:val="left"/>
      <w:pPr>
        <w:ind w:left="82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5CF8B4">
      <w:numFmt w:val="bullet"/>
      <w:lvlText w:val="•"/>
      <w:lvlJc w:val="left"/>
      <w:pPr>
        <w:ind w:left="1696" w:hanging="300"/>
      </w:pPr>
      <w:rPr>
        <w:rFonts w:hint="default"/>
        <w:lang w:val="ru-RU" w:eastAsia="en-US" w:bidi="ar-SA"/>
      </w:rPr>
    </w:lvl>
    <w:lvl w:ilvl="2" w:tplc="D63C75E8">
      <w:numFmt w:val="bullet"/>
      <w:lvlText w:val="•"/>
      <w:lvlJc w:val="left"/>
      <w:pPr>
        <w:ind w:left="2572" w:hanging="300"/>
      </w:pPr>
      <w:rPr>
        <w:rFonts w:hint="default"/>
        <w:lang w:val="ru-RU" w:eastAsia="en-US" w:bidi="ar-SA"/>
      </w:rPr>
    </w:lvl>
    <w:lvl w:ilvl="3" w:tplc="E38AD80E">
      <w:numFmt w:val="bullet"/>
      <w:lvlText w:val="•"/>
      <w:lvlJc w:val="left"/>
      <w:pPr>
        <w:ind w:left="3448" w:hanging="300"/>
      </w:pPr>
      <w:rPr>
        <w:rFonts w:hint="default"/>
        <w:lang w:val="ru-RU" w:eastAsia="en-US" w:bidi="ar-SA"/>
      </w:rPr>
    </w:lvl>
    <w:lvl w:ilvl="4" w:tplc="53FC6164">
      <w:numFmt w:val="bullet"/>
      <w:lvlText w:val="•"/>
      <w:lvlJc w:val="left"/>
      <w:pPr>
        <w:ind w:left="4324" w:hanging="300"/>
      </w:pPr>
      <w:rPr>
        <w:rFonts w:hint="default"/>
        <w:lang w:val="ru-RU" w:eastAsia="en-US" w:bidi="ar-SA"/>
      </w:rPr>
    </w:lvl>
    <w:lvl w:ilvl="5" w:tplc="AA6EBDE4">
      <w:numFmt w:val="bullet"/>
      <w:lvlText w:val="•"/>
      <w:lvlJc w:val="left"/>
      <w:pPr>
        <w:ind w:left="5200" w:hanging="300"/>
      </w:pPr>
      <w:rPr>
        <w:rFonts w:hint="default"/>
        <w:lang w:val="ru-RU" w:eastAsia="en-US" w:bidi="ar-SA"/>
      </w:rPr>
    </w:lvl>
    <w:lvl w:ilvl="6" w:tplc="4BEE7D56">
      <w:numFmt w:val="bullet"/>
      <w:lvlText w:val="•"/>
      <w:lvlJc w:val="left"/>
      <w:pPr>
        <w:ind w:left="6076" w:hanging="300"/>
      </w:pPr>
      <w:rPr>
        <w:rFonts w:hint="default"/>
        <w:lang w:val="ru-RU" w:eastAsia="en-US" w:bidi="ar-SA"/>
      </w:rPr>
    </w:lvl>
    <w:lvl w:ilvl="7" w:tplc="B5BC6374">
      <w:numFmt w:val="bullet"/>
      <w:lvlText w:val="•"/>
      <w:lvlJc w:val="left"/>
      <w:pPr>
        <w:ind w:left="6952" w:hanging="300"/>
      </w:pPr>
      <w:rPr>
        <w:rFonts w:hint="default"/>
        <w:lang w:val="ru-RU" w:eastAsia="en-US" w:bidi="ar-SA"/>
      </w:rPr>
    </w:lvl>
    <w:lvl w:ilvl="8" w:tplc="C4EAD8AE">
      <w:numFmt w:val="bullet"/>
      <w:lvlText w:val="•"/>
      <w:lvlJc w:val="left"/>
      <w:pPr>
        <w:ind w:left="7828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61751E7"/>
    <w:multiLevelType w:val="hybridMultilevel"/>
    <w:tmpl w:val="AD38BF6E"/>
    <w:lvl w:ilvl="0" w:tplc="9650E4EE">
      <w:numFmt w:val="bullet"/>
      <w:lvlText w:val="-"/>
      <w:lvlJc w:val="left"/>
      <w:pPr>
        <w:ind w:left="1544" w:hanging="360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1124084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28941C7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72EC35A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C6FE9C02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762ACD12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D160F4FC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EEA00F9E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63F887C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1010554"/>
    <w:multiLevelType w:val="multilevel"/>
    <w:tmpl w:val="7EF6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553B00"/>
    <w:multiLevelType w:val="hybridMultilevel"/>
    <w:tmpl w:val="4D181AA4"/>
    <w:lvl w:ilvl="0" w:tplc="6130CA56">
      <w:numFmt w:val="bullet"/>
      <w:lvlText w:val="•"/>
      <w:lvlJc w:val="left"/>
      <w:pPr>
        <w:ind w:left="824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1" w:tplc="BF28088E">
      <w:numFmt w:val="bullet"/>
      <w:lvlText w:val="•"/>
      <w:lvlJc w:val="left"/>
      <w:pPr>
        <w:ind w:left="1184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2" w:tplc="A3B027B4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3" w:tplc="69CA078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BC8CCBD6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746A9C72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30DE3A64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643CEF8A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 w:tplc="343C5134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DC2602B"/>
    <w:multiLevelType w:val="multilevel"/>
    <w:tmpl w:val="3572DA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59C6579D"/>
    <w:multiLevelType w:val="multilevel"/>
    <w:tmpl w:val="DC02D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483812"/>
    <w:multiLevelType w:val="hybridMultilevel"/>
    <w:tmpl w:val="B5621372"/>
    <w:lvl w:ilvl="0" w:tplc="74962122">
      <w:numFmt w:val="bullet"/>
      <w:lvlText w:val="•"/>
      <w:lvlJc w:val="left"/>
      <w:pPr>
        <w:ind w:left="1532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1" w:tplc="86CCE59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D3EE04AE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F236B31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DC5C4378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A6AEE6AE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20C21E3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AC84AECC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6E58C72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AB331E3"/>
    <w:multiLevelType w:val="multilevel"/>
    <w:tmpl w:val="F15E293C"/>
    <w:lvl w:ilvl="0">
      <w:start w:val="1"/>
      <w:numFmt w:val="decimal"/>
      <w:lvlText w:val="%1"/>
      <w:lvlJc w:val="left"/>
      <w:pPr>
        <w:ind w:left="230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5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6B77150B"/>
    <w:multiLevelType w:val="hybridMultilevel"/>
    <w:tmpl w:val="16C2562A"/>
    <w:lvl w:ilvl="0" w:tplc="0C848B44">
      <w:start w:val="1"/>
      <w:numFmt w:val="decimal"/>
      <w:lvlText w:val="%1."/>
      <w:lvlJc w:val="left"/>
      <w:pPr>
        <w:ind w:left="104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C8D2A">
      <w:numFmt w:val="bullet"/>
      <w:lvlText w:val="•"/>
      <w:lvlJc w:val="left"/>
      <w:pPr>
        <w:ind w:left="1048" w:hanging="386"/>
      </w:pPr>
      <w:rPr>
        <w:rFonts w:hint="default"/>
        <w:lang w:val="ru-RU" w:eastAsia="en-US" w:bidi="ar-SA"/>
      </w:rPr>
    </w:lvl>
    <w:lvl w:ilvl="2" w:tplc="1EBC65C0">
      <w:numFmt w:val="bullet"/>
      <w:lvlText w:val="•"/>
      <w:lvlJc w:val="left"/>
      <w:pPr>
        <w:ind w:left="1996" w:hanging="386"/>
      </w:pPr>
      <w:rPr>
        <w:rFonts w:hint="default"/>
        <w:lang w:val="ru-RU" w:eastAsia="en-US" w:bidi="ar-SA"/>
      </w:rPr>
    </w:lvl>
    <w:lvl w:ilvl="3" w:tplc="025E2C96">
      <w:numFmt w:val="bullet"/>
      <w:lvlText w:val="•"/>
      <w:lvlJc w:val="left"/>
      <w:pPr>
        <w:ind w:left="2944" w:hanging="386"/>
      </w:pPr>
      <w:rPr>
        <w:rFonts w:hint="default"/>
        <w:lang w:val="ru-RU" w:eastAsia="en-US" w:bidi="ar-SA"/>
      </w:rPr>
    </w:lvl>
    <w:lvl w:ilvl="4" w:tplc="D362F892">
      <w:numFmt w:val="bullet"/>
      <w:lvlText w:val="•"/>
      <w:lvlJc w:val="left"/>
      <w:pPr>
        <w:ind w:left="3892" w:hanging="386"/>
      </w:pPr>
      <w:rPr>
        <w:rFonts w:hint="default"/>
        <w:lang w:val="ru-RU" w:eastAsia="en-US" w:bidi="ar-SA"/>
      </w:rPr>
    </w:lvl>
    <w:lvl w:ilvl="5" w:tplc="C20030EA">
      <w:numFmt w:val="bullet"/>
      <w:lvlText w:val="•"/>
      <w:lvlJc w:val="left"/>
      <w:pPr>
        <w:ind w:left="4840" w:hanging="386"/>
      </w:pPr>
      <w:rPr>
        <w:rFonts w:hint="default"/>
        <w:lang w:val="ru-RU" w:eastAsia="en-US" w:bidi="ar-SA"/>
      </w:rPr>
    </w:lvl>
    <w:lvl w:ilvl="6" w:tplc="0A04C11A">
      <w:numFmt w:val="bullet"/>
      <w:lvlText w:val="•"/>
      <w:lvlJc w:val="left"/>
      <w:pPr>
        <w:ind w:left="5788" w:hanging="386"/>
      </w:pPr>
      <w:rPr>
        <w:rFonts w:hint="default"/>
        <w:lang w:val="ru-RU" w:eastAsia="en-US" w:bidi="ar-SA"/>
      </w:rPr>
    </w:lvl>
    <w:lvl w:ilvl="7" w:tplc="B9E4D894">
      <w:numFmt w:val="bullet"/>
      <w:lvlText w:val="•"/>
      <w:lvlJc w:val="left"/>
      <w:pPr>
        <w:ind w:left="6736" w:hanging="386"/>
      </w:pPr>
      <w:rPr>
        <w:rFonts w:hint="default"/>
        <w:lang w:val="ru-RU" w:eastAsia="en-US" w:bidi="ar-SA"/>
      </w:rPr>
    </w:lvl>
    <w:lvl w:ilvl="8" w:tplc="480A1476">
      <w:numFmt w:val="bullet"/>
      <w:lvlText w:val="•"/>
      <w:lvlJc w:val="left"/>
      <w:pPr>
        <w:ind w:left="7684" w:hanging="386"/>
      </w:pPr>
      <w:rPr>
        <w:rFonts w:hint="default"/>
        <w:lang w:val="ru-RU" w:eastAsia="en-US" w:bidi="ar-SA"/>
      </w:rPr>
    </w:lvl>
  </w:abstractNum>
  <w:abstractNum w:abstractNumId="14" w15:restartNumberingAfterBreak="0">
    <w:nsid w:val="6F613649"/>
    <w:multiLevelType w:val="hybridMultilevel"/>
    <w:tmpl w:val="90822FD4"/>
    <w:lvl w:ilvl="0" w:tplc="5122E9F2">
      <w:start w:val="7"/>
      <w:numFmt w:val="decimal"/>
      <w:lvlText w:val="%1"/>
      <w:lvlJc w:val="left"/>
      <w:pPr>
        <w:ind w:left="104" w:hanging="222"/>
      </w:pPr>
      <w:rPr>
        <w:rFonts w:hint="default"/>
        <w:w w:val="100"/>
        <w:lang w:val="ru-RU" w:eastAsia="en-US" w:bidi="ar-SA"/>
      </w:rPr>
    </w:lvl>
    <w:lvl w:ilvl="1" w:tplc="A3A81554">
      <w:numFmt w:val="bullet"/>
      <w:lvlText w:val="•"/>
      <w:lvlJc w:val="left"/>
      <w:pPr>
        <w:ind w:left="1048" w:hanging="222"/>
      </w:pPr>
      <w:rPr>
        <w:rFonts w:hint="default"/>
        <w:lang w:val="ru-RU" w:eastAsia="en-US" w:bidi="ar-SA"/>
      </w:rPr>
    </w:lvl>
    <w:lvl w:ilvl="2" w:tplc="8BCA3142">
      <w:numFmt w:val="bullet"/>
      <w:lvlText w:val="•"/>
      <w:lvlJc w:val="left"/>
      <w:pPr>
        <w:ind w:left="1996" w:hanging="222"/>
      </w:pPr>
      <w:rPr>
        <w:rFonts w:hint="default"/>
        <w:lang w:val="ru-RU" w:eastAsia="en-US" w:bidi="ar-SA"/>
      </w:rPr>
    </w:lvl>
    <w:lvl w:ilvl="3" w:tplc="F7528B00">
      <w:numFmt w:val="bullet"/>
      <w:lvlText w:val="•"/>
      <w:lvlJc w:val="left"/>
      <w:pPr>
        <w:ind w:left="2944" w:hanging="222"/>
      </w:pPr>
      <w:rPr>
        <w:rFonts w:hint="default"/>
        <w:lang w:val="ru-RU" w:eastAsia="en-US" w:bidi="ar-SA"/>
      </w:rPr>
    </w:lvl>
    <w:lvl w:ilvl="4" w:tplc="F5A67B86">
      <w:numFmt w:val="bullet"/>
      <w:lvlText w:val="•"/>
      <w:lvlJc w:val="left"/>
      <w:pPr>
        <w:ind w:left="3892" w:hanging="222"/>
      </w:pPr>
      <w:rPr>
        <w:rFonts w:hint="default"/>
        <w:lang w:val="ru-RU" w:eastAsia="en-US" w:bidi="ar-SA"/>
      </w:rPr>
    </w:lvl>
    <w:lvl w:ilvl="5" w:tplc="54DE29AA">
      <w:numFmt w:val="bullet"/>
      <w:lvlText w:val="•"/>
      <w:lvlJc w:val="left"/>
      <w:pPr>
        <w:ind w:left="4840" w:hanging="222"/>
      </w:pPr>
      <w:rPr>
        <w:rFonts w:hint="default"/>
        <w:lang w:val="ru-RU" w:eastAsia="en-US" w:bidi="ar-SA"/>
      </w:rPr>
    </w:lvl>
    <w:lvl w:ilvl="6" w:tplc="CFC689A6">
      <w:numFmt w:val="bullet"/>
      <w:lvlText w:val="•"/>
      <w:lvlJc w:val="left"/>
      <w:pPr>
        <w:ind w:left="5788" w:hanging="222"/>
      </w:pPr>
      <w:rPr>
        <w:rFonts w:hint="default"/>
        <w:lang w:val="ru-RU" w:eastAsia="en-US" w:bidi="ar-SA"/>
      </w:rPr>
    </w:lvl>
    <w:lvl w:ilvl="7" w:tplc="4F26E3F0">
      <w:numFmt w:val="bullet"/>
      <w:lvlText w:val="•"/>
      <w:lvlJc w:val="left"/>
      <w:pPr>
        <w:ind w:left="6736" w:hanging="222"/>
      </w:pPr>
      <w:rPr>
        <w:rFonts w:hint="default"/>
        <w:lang w:val="ru-RU" w:eastAsia="en-US" w:bidi="ar-SA"/>
      </w:rPr>
    </w:lvl>
    <w:lvl w:ilvl="8" w:tplc="0BCE2B56">
      <w:numFmt w:val="bullet"/>
      <w:lvlText w:val="•"/>
      <w:lvlJc w:val="left"/>
      <w:pPr>
        <w:ind w:left="7684" w:hanging="222"/>
      </w:pPr>
      <w:rPr>
        <w:rFonts w:hint="default"/>
        <w:lang w:val="ru-RU" w:eastAsia="en-US" w:bidi="ar-SA"/>
      </w:rPr>
    </w:lvl>
  </w:abstractNum>
  <w:abstractNum w:abstractNumId="15" w15:restartNumberingAfterBreak="0">
    <w:nsid w:val="765321FC"/>
    <w:multiLevelType w:val="hybridMultilevel"/>
    <w:tmpl w:val="DE3C6364"/>
    <w:lvl w:ilvl="0" w:tplc="60C284CE">
      <w:numFmt w:val="bullet"/>
      <w:lvlText w:val="-"/>
      <w:lvlJc w:val="left"/>
      <w:pPr>
        <w:ind w:left="464" w:hanging="360"/>
      </w:pPr>
      <w:rPr>
        <w:rFonts w:hint="default"/>
        <w:w w:val="99"/>
        <w:lang w:val="ru-RU" w:eastAsia="en-US" w:bidi="ar-SA"/>
      </w:rPr>
    </w:lvl>
    <w:lvl w:ilvl="1" w:tplc="32507E54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F22ADD8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3" w:tplc="369096FA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8912D8D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3D2C0C20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6" w:tplc="850476C0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14CC3C9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6A907EB2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B972F38"/>
    <w:multiLevelType w:val="multilevel"/>
    <w:tmpl w:val="ADBE077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4"/>
  </w:num>
  <w:num w:numId="5">
    <w:abstractNumId w:val="1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11"/>
  </w:num>
  <w:num w:numId="11">
    <w:abstractNumId w:val="12"/>
  </w:num>
  <w:num w:numId="12">
    <w:abstractNumId w:val="3"/>
  </w:num>
  <w:num w:numId="13">
    <w:abstractNumId w:val="10"/>
  </w:num>
  <w:num w:numId="14">
    <w:abstractNumId w:val="16"/>
  </w:num>
  <w:num w:numId="15">
    <w:abstractNumId w:val="7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35"/>
    <w:rsid w:val="00227E59"/>
    <w:rsid w:val="004B0DE2"/>
    <w:rsid w:val="005C3CD9"/>
    <w:rsid w:val="007C64F6"/>
    <w:rsid w:val="00A00D1C"/>
    <w:rsid w:val="00AB1526"/>
    <w:rsid w:val="00B0086C"/>
    <w:rsid w:val="00B418F2"/>
    <w:rsid w:val="00BD0B35"/>
    <w:rsid w:val="00C80C04"/>
    <w:rsid w:val="00CD07CA"/>
    <w:rsid w:val="00DB2255"/>
    <w:rsid w:val="00ED12BE"/>
    <w:rsid w:val="00F33D28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481A9"/>
  <w15:chartTrackingRefBased/>
  <w15:docId w15:val="{2A47F600-FF17-4D6E-89F8-14D70ED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12BE"/>
    <w:pPr>
      <w:widowControl w:val="0"/>
      <w:autoSpaceDE w:val="0"/>
      <w:autoSpaceDN w:val="0"/>
      <w:spacing w:after="0" w:line="240" w:lineRule="auto"/>
      <w:ind w:left="81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12B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D12BE"/>
  </w:style>
  <w:style w:type="table" w:customStyle="1" w:styleId="TableNormal">
    <w:name w:val="Table Normal"/>
    <w:uiPriority w:val="2"/>
    <w:semiHidden/>
    <w:unhideWhenUsed/>
    <w:qFormat/>
    <w:rsid w:val="00ED1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12BE"/>
    <w:pPr>
      <w:widowControl w:val="0"/>
      <w:autoSpaceDE w:val="0"/>
      <w:autoSpaceDN w:val="0"/>
      <w:spacing w:after="0" w:line="240" w:lineRule="auto"/>
      <w:ind w:left="104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12B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D12BE"/>
    <w:pPr>
      <w:widowControl w:val="0"/>
      <w:autoSpaceDE w:val="0"/>
      <w:autoSpaceDN w:val="0"/>
      <w:spacing w:after="0" w:line="240" w:lineRule="auto"/>
      <w:ind w:left="824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D1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e5.biz/terms/g9.html" TargetMode="External"/><Relationship Id="rId21" Type="http://schemas.openxmlformats.org/officeDocument/2006/relationships/hyperlink" Target="http://be5.biz/terms/g11.html" TargetMode="External"/><Relationship Id="rId42" Type="http://schemas.openxmlformats.org/officeDocument/2006/relationships/hyperlink" Target="http://be5.biz/terms/u8.html" TargetMode="External"/><Relationship Id="rId47" Type="http://schemas.openxmlformats.org/officeDocument/2006/relationships/hyperlink" Target="http://be5.biz/terms/k18.html" TargetMode="External"/><Relationship Id="rId63" Type="http://schemas.openxmlformats.org/officeDocument/2006/relationships/hyperlink" Target="http://be5.biz/terms/p56.html" TargetMode="External"/><Relationship Id="rId68" Type="http://schemas.openxmlformats.org/officeDocument/2006/relationships/hyperlink" Target="http://www.consultant.ru/document/cons_doc_LAW_340325/8d8cd335130f04a7036c1eb50fff606c93fc643a/" TargetMode="External"/><Relationship Id="rId16" Type="http://schemas.openxmlformats.org/officeDocument/2006/relationships/hyperlink" Target="http://be5.biz/terms/n5.html" TargetMode="External"/><Relationship Id="rId11" Type="http://schemas.openxmlformats.org/officeDocument/2006/relationships/hyperlink" Target="http://be5.biz/terms/g11.html" TargetMode="External"/><Relationship Id="rId32" Type="http://schemas.openxmlformats.org/officeDocument/2006/relationships/hyperlink" Target="http://be5.biz/terms/o8.html" TargetMode="External"/><Relationship Id="rId37" Type="http://schemas.openxmlformats.org/officeDocument/2006/relationships/hyperlink" Target="http://be5.biz/terms/g5.html" TargetMode="External"/><Relationship Id="rId53" Type="http://schemas.openxmlformats.org/officeDocument/2006/relationships/hyperlink" Target="http://be5.biz/terms/p17.html" TargetMode="External"/><Relationship Id="rId58" Type="http://schemas.openxmlformats.org/officeDocument/2006/relationships/hyperlink" Target="http://be5.biz/terms/g5.html" TargetMode="External"/><Relationship Id="rId74" Type="http://schemas.openxmlformats.org/officeDocument/2006/relationships/hyperlink" Target="http://be5.biz/terms/n7.html" TargetMode="External"/><Relationship Id="rId79" Type="http://schemas.openxmlformats.org/officeDocument/2006/relationships/hyperlink" Target="http://be5.biz/terms/p10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be5.biz/terms/d3.html" TargetMode="External"/><Relationship Id="rId19" Type="http://schemas.openxmlformats.org/officeDocument/2006/relationships/hyperlink" Target="http://be5.biz/terms/g5.html" TargetMode="External"/><Relationship Id="rId14" Type="http://schemas.openxmlformats.org/officeDocument/2006/relationships/hyperlink" Target="http://be5.biz/terms/p1.html" TargetMode="External"/><Relationship Id="rId22" Type="http://schemas.openxmlformats.org/officeDocument/2006/relationships/hyperlink" Target="http://be5.biz/terms/p10.html" TargetMode="External"/><Relationship Id="rId27" Type="http://schemas.openxmlformats.org/officeDocument/2006/relationships/hyperlink" Target="http://be5.biz/terms/z3.html" TargetMode="External"/><Relationship Id="rId30" Type="http://schemas.openxmlformats.org/officeDocument/2006/relationships/hyperlink" Target="http://be5.biz/terms/v7.html" TargetMode="External"/><Relationship Id="rId35" Type="http://schemas.openxmlformats.org/officeDocument/2006/relationships/hyperlink" Target="http://be5.biz/terms/n4.html" TargetMode="External"/><Relationship Id="rId43" Type="http://schemas.openxmlformats.org/officeDocument/2006/relationships/hyperlink" Target="http://be5.biz/terms/u12.html" TargetMode="External"/><Relationship Id="rId48" Type="http://schemas.openxmlformats.org/officeDocument/2006/relationships/hyperlink" Target="http://be5.biz/terms/t7.html" TargetMode="External"/><Relationship Id="rId56" Type="http://schemas.openxmlformats.org/officeDocument/2006/relationships/hyperlink" Target="http://be5.biz/terms/z4.html" TargetMode="External"/><Relationship Id="rId64" Type="http://schemas.openxmlformats.org/officeDocument/2006/relationships/hyperlink" Target="http://be5.biz/terms/z4.html" TargetMode="External"/><Relationship Id="rId69" Type="http://schemas.openxmlformats.org/officeDocument/2006/relationships/hyperlink" Target="http://www.consultant.ru/document/cons_doc_LAW_340325/8d8cd335130f04a7036c1eb50fff606c93fc643a/" TargetMode="External"/><Relationship Id="rId77" Type="http://schemas.openxmlformats.org/officeDocument/2006/relationships/hyperlink" Target="http://be5.biz/terms/t7.html" TargetMode="External"/><Relationship Id="rId8" Type="http://schemas.openxmlformats.org/officeDocument/2006/relationships/hyperlink" Target="http://be5.biz/terms/o8.html" TargetMode="External"/><Relationship Id="rId51" Type="http://schemas.openxmlformats.org/officeDocument/2006/relationships/hyperlink" Target="http://be5.biz/terms/u7.html" TargetMode="External"/><Relationship Id="rId72" Type="http://schemas.openxmlformats.org/officeDocument/2006/relationships/hyperlink" Target="http://be5.biz/terms/z9.html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be5.biz/terms/v7.html" TargetMode="External"/><Relationship Id="rId17" Type="http://schemas.openxmlformats.org/officeDocument/2006/relationships/hyperlink" Target="http://be5.biz/terms/o8.html" TargetMode="External"/><Relationship Id="rId25" Type="http://schemas.openxmlformats.org/officeDocument/2006/relationships/hyperlink" Target="http://be5.biz/terms/i18.html" TargetMode="External"/><Relationship Id="rId33" Type="http://schemas.openxmlformats.org/officeDocument/2006/relationships/hyperlink" Target="http://be5.biz/terms/p10.html" TargetMode="External"/><Relationship Id="rId38" Type="http://schemas.openxmlformats.org/officeDocument/2006/relationships/hyperlink" Target="http://be5.biz/terms/o8.html" TargetMode="External"/><Relationship Id="rId46" Type="http://schemas.openxmlformats.org/officeDocument/2006/relationships/hyperlink" Target="http://be5.biz/terms/g5.html" TargetMode="External"/><Relationship Id="rId59" Type="http://schemas.openxmlformats.org/officeDocument/2006/relationships/hyperlink" Target="http://be5.biz/terms/m5.html" TargetMode="External"/><Relationship Id="rId67" Type="http://schemas.openxmlformats.org/officeDocument/2006/relationships/hyperlink" Target="http://be5.biz/terms/d3.html" TargetMode="External"/><Relationship Id="rId20" Type="http://schemas.openxmlformats.org/officeDocument/2006/relationships/hyperlink" Target="http://be5.biz/terms/c9.html" TargetMode="External"/><Relationship Id="rId41" Type="http://schemas.openxmlformats.org/officeDocument/2006/relationships/hyperlink" Target="http://be5.biz/terms/u3.html" TargetMode="External"/><Relationship Id="rId54" Type="http://schemas.openxmlformats.org/officeDocument/2006/relationships/hyperlink" Target="http://be5.biz/terms/p18.html" TargetMode="External"/><Relationship Id="rId62" Type="http://schemas.openxmlformats.org/officeDocument/2006/relationships/hyperlink" Target="http://be5.biz/terms/k18.html" TargetMode="External"/><Relationship Id="rId70" Type="http://schemas.openxmlformats.org/officeDocument/2006/relationships/hyperlink" Target="http://be5.biz/terms/g21.html" TargetMode="External"/><Relationship Id="rId75" Type="http://schemas.openxmlformats.org/officeDocument/2006/relationships/hyperlink" Target="http://be5.biz/terms/k1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be5.biz/terms/r9.html" TargetMode="External"/><Relationship Id="rId23" Type="http://schemas.openxmlformats.org/officeDocument/2006/relationships/hyperlink" Target="http://be5.biz/terms/v4.html" TargetMode="External"/><Relationship Id="rId28" Type="http://schemas.openxmlformats.org/officeDocument/2006/relationships/hyperlink" Target="http://be5.biz/terms/o9.html" TargetMode="External"/><Relationship Id="rId36" Type="http://schemas.openxmlformats.org/officeDocument/2006/relationships/hyperlink" Target="http://be5.biz/terms/p70.html" TargetMode="External"/><Relationship Id="rId49" Type="http://schemas.openxmlformats.org/officeDocument/2006/relationships/hyperlink" Target="http://be5.biz/terms/n1.html" TargetMode="External"/><Relationship Id="rId57" Type="http://schemas.openxmlformats.org/officeDocument/2006/relationships/hyperlink" Target="http://be5.biz/terms/o31.html" TargetMode="External"/><Relationship Id="rId10" Type="http://schemas.openxmlformats.org/officeDocument/2006/relationships/hyperlink" Target="http://be5.biz/terms/c21.html" TargetMode="External"/><Relationship Id="rId31" Type="http://schemas.openxmlformats.org/officeDocument/2006/relationships/hyperlink" Target="http://be5.biz/terms/g5.html" TargetMode="External"/><Relationship Id="rId44" Type="http://schemas.openxmlformats.org/officeDocument/2006/relationships/hyperlink" Target="http://be5.biz/terms/g21.html" TargetMode="External"/><Relationship Id="rId52" Type="http://schemas.openxmlformats.org/officeDocument/2006/relationships/hyperlink" Target="http://be5.biz/terms/p68.html" TargetMode="External"/><Relationship Id="rId60" Type="http://schemas.openxmlformats.org/officeDocument/2006/relationships/hyperlink" Target="http://be5.biz/terms/n1.html" TargetMode="External"/><Relationship Id="rId65" Type="http://schemas.openxmlformats.org/officeDocument/2006/relationships/hyperlink" Target="http://be5.biz/terms/g5.html" TargetMode="External"/><Relationship Id="rId73" Type="http://schemas.openxmlformats.org/officeDocument/2006/relationships/hyperlink" Target="http://be5.biz/terms/d3.html" TargetMode="External"/><Relationship Id="rId78" Type="http://schemas.openxmlformats.org/officeDocument/2006/relationships/hyperlink" Target="http://be5.biz/terms/u7.html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e5.biz/terms/i15.html" TargetMode="External"/><Relationship Id="rId13" Type="http://schemas.openxmlformats.org/officeDocument/2006/relationships/hyperlink" Target="http://be5.biz/terms/o8.html" TargetMode="External"/><Relationship Id="rId18" Type="http://schemas.openxmlformats.org/officeDocument/2006/relationships/hyperlink" Target="http://be5.biz/terms/p34.html" TargetMode="External"/><Relationship Id="rId39" Type="http://schemas.openxmlformats.org/officeDocument/2006/relationships/hyperlink" Target="http://be5.biz/terms/c1.html" TargetMode="External"/><Relationship Id="rId34" Type="http://schemas.openxmlformats.org/officeDocument/2006/relationships/hyperlink" Target="http://be5.biz/terms/o10.html" TargetMode="External"/><Relationship Id="rId50" Type="http://schemas.openxmlformats.org/officeDocument/2006/relationships/hyperlink" Target="http://be5.biz/terms/o13.html" TargetMode="External"/><Relationship Id="rId55" Type="http://schemas.openxmlformats.org/officeDocument/2006/relationships/hyperlink" Target="http://be5.biz/terms/n1.html" TargetMode="External"/><Relationship Id="rId76" Type="http://schemas.openxmlformats.org/officeDocument/2006/relationships/hyperlink" Target="http://be5.biz/terms/p17.html" TargetMode="External"/><Relationship Id="rId7" Type="http://schemas.openxmlformats.org/officeDocument/2006/relationships/hyperlink" Target="http://be5.biz/terms/u3.html" TargetMode="External"/><Relationship Id="rId71" Type="http://schemas.openxmlformats.org/officeDocument/2006/relationships/hyperlink" Target="http://be5.biz/terms/z4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be5.biz/terms/o1.html" TargetMode="External"/><Relationship Id="rId24" Type="http://schemas.openxmlformats.org/officeDocument/2006/relationships/hyperlink" Target="http://be5.biz/terms/c19.html" TargetMode="External"/><Relationship Id="rId40" Type="http://schemas.openxmlformats.org/officeDocument/2006/relationships/hyperlink" Target="http://be5.biz/terms/p1.html" TargetMode="External"/><Relationship Id="rId45" Type="http://schemas.openxmlformats.org/officeDocument/2006/relationships/hyperlink" Target="http://be5.biz/terms/z4.html" TargetMode="External"/><Relationship Id="rId66" Type="http://schemas.openxmlformats.org/officeDocument/2006/relationships/hyperlink" Target="http://be5.biz/terms/o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4644</Words>
  <Characters>26475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Iman</cp:lastModifiedBy>
  <cp:revision>10</cp:revision>
  <dcterms:created xsi:type="dcterms:W3CDTF">2023-04-15T10:42:00Z</dcterms:created>
  <dcterms:modified xsi:type="dcterms:W3CDTF">2024-03-25T08:39:00Z</dcterms:modified>
</cp:coreProperties>
</file>