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C4" w:rsidRDefault="00E003C4" w:rsidP="00E003C4">
      <w:pPr>
        <w:jc w:val="center"/>
        <w:rPr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ЛЕКЦИЯ 2. </w:t>
      </w:r>
      <w:r w:rsidRPr="00E003C4">
        <w:rPr>
          <w:rFonts w:ascii="Times New Roman" w:eastAsia="Calibri" w:hAnsi="Times New Roman" w:cs="Times New Roman"/>
          <w:b/>
          <w:sz w:val="28"/>
          <w:szCs w:val="28"/>
        </w:rPr>
        <w:t>ТЕОРИИ ГОСУДАРСТВЕННОГО РЕГУЛИРОВАНИЯ</w:t>
      </w:r>
    </w:p>
    <w:bookmarkEnd w:id="0"/>
    <w:p w:rsidR="00E003C4" w:rsidRDefault="00E003C4" w:rsidP="00E003C4">
      <w:pPr>
        <w:rPr>
          <w:sz w:val="28"/>
          <w:szCs w:val="28"/>
        </w:rPr>
      </w:pPr>
    </w:p>
    <w:p w:rsidR="00E003C4" w:rsidRDefault="00E003C4" w:rsidP="00E003C4">
      <w:pPr>
        <w:pStyle w:val="a3"/>
        <w:numPr>
          <w:ilvl w:val="0"/>
          <w:numId w:val="1"/>
        </w:numPr>
        <w:tabs>
          <w:tab w:val="left" w:pos="1486"/>
        </w:tabs>
        <w:rPr>
          <w:rFonts w:ascii="Times New Roman" w:hAnsi="Times New Roman" w:cs="Times New Roman"/>
          <w:sz w:val="28"/>
          <w:szCs w:val="28"/>
        </w:rPr>
      </w:pPr>
      <w:r w:rsidRPr="00E003C4">
        <w:rPr>
          <w:rFonts w:ascii="Times New Roman" w:hAnsi="Times New Roman" w:cs="Times New Roman"/>
          <w:sz w:val="28"/>
          <w:szCs w:val="28"/>
        </w:rPr>
        <w:t>Концепции минимальной роли государства в регулировании экономики</w:t>
      </w:r>
    </w:p>
    <w:p w:rsidR="00E003C4" w:rsidRDefault="00E003C4" w:rsidP="00E003C4">
      <w:pPr>
        <w:pStyle w:val="a3"/>
        <w:numPr>
          <w:ilvl w:val="0"/>
          <w:numId w:val="1"/>
        </w:numPr>
        <w:tabs>
          <w:tab w:val="left" w:pos="1486"/>
        </w:tabs>
        <w:rPr>
          <w:rFonts w:ascii="Times New Roman" w:hAnsi="Times New Roman" w:cs="Times New Roman"/>
          <w:sz w:val="28"/>
          <w:szCs w:val="28"/>
        </w:rPr>
      </w:pPr>
      <w:r w:rsidRPr="00E003C4">
        <w:rPr>
          <w:rFonts w:ascii="Times New Roman" w:hAnsi="Times New Roman" w:cs="Times New Roman"/>
          <w:sz w:val="28"/>
          <w:szCs w:val="28"/>
        </w:rPr>
        <w:t xml:space="preserve"> Концепции активного вмешательства государства в рыночные процессы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09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>Понятие «правовое регулирование» вошло в научный оборот в 60-х гг. прошлого столетия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092">
        <w:rPr>
          <w:rFonts w:ascii="Times New Roman" w:hAnsi="Times New Roman" w:cs="Times New Roman"/>
          <w:sz w:val="28"/>
          <w:szCs w:val="28"/>
        </w:rPr>
        <w:t>1. Термин «государственно-правовое регулирование» встречается лишь в отдельных работах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092">
        <w:rPr>
          <w:rFonts w:ascii="Times New Roman" w:hAnsi="Times New Roman" w:cs="Times New Roman"/>
          <w:sz w:val="28"/>
          <w:szCs w:val="28"/>
        </w:rPr>
        <w:t xml:space="preserve">2, что свидетельствует о том, что он не получил пока широкого признания в отечественной юридической науке. Между тем отождествление этих понятий вполне оправданно как в прошлом, так и в настоящее время. Сомнения в правомерности такого подхода, аргументируемые изменившимися представлениями о праве и тем, что оно способно формироваться и функционировать, регулируя общественные отношения помимо государства и независимо от него, не выдерживают критики. Например, говоря о ведущей роли государства в правовом регулировании, В. М. Сырых отмечает, что активную роль в правотворчестве играют также общество, его организации и объединения3, но из этого вовсе не следует, что право может формироваться и функционировать независимо от государства. </w:t>
      </w:r>
      <w:proofErr w:type="gramStart"/>
      <w:r w:rsidRPr="00C77092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C77092">
        <w:rPr>
          <w:rFonts w:ascii="Times New Roman" w:hAnsi="Times New Roman" w:cs="Times New Roman"/>
          <w:sz w:val="28"/>
          <w:szCs w:val="28"/>
        </w:rPr>
        <w:t xml:space="preserve"> как социальный институт не может быть независимым от государства, и наоборот. Отдельные виды правотворческой деятельности действительно осуществляются с государственного дозволения либо санкционируются им, но все правовые нормы обеспечиваются принудительной силой государства. Поэтому государственно-правовое регулирование организации и деятельности различного рода корпораций назвать «формой саморегулирования», как это делает А. Ф. Черданцев4, можно только с больш</w:t>
      </w:r>
      <w:r>
        <w:rPr>
          <w:rFonts w:ascii="Times New Roman" w:hAnsi="Times New Roman" w:cs="Times New Roman"/>
          <w:sz w:val="28"/>
          <w:szCs w:val="28"/>
        </w:rPr>
        <w:t>ой долей условности.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 xml:space="preserve">Правовое регулирование общественных отношений занимает центральное место в правовой действительности, характеризует динамику (действие) права, его социальное назначение. С. С. Алексеев проблемы правового регулирования и связанный с ними понятийный аппарат называл «особым углом зрения на всю правовую действительность»5. Между тем стройной теории государственно-правового регулирования в отечественной юриспруденции так и не сформировалось. Об этом, в частности, свидетельствуют такие факты, как отсутствие в ряде учебников по теории государства и права темы о правовом регулировании, освещение правовых понятий динамики права в отрыве от правового регулирования, а также искаженная логика изложения научных данных о правовых явлениях </w:t>
      </w:r>
      <w:r w:rsidRPr="00C77092">
        <w:rPr>
          <w:rFonts w:ascii="Times New Roman" w:hAnsi="Times New Roman" w:cs="Times New Roman"/>
          <w:sz w:val="28"/>
          <w:szCs w:val="28"/>
        </w:rPr>
        <w:lastRenderedPageBreak/>
        <w:t xml:space="preserve">динамики права. Эти явления закономерно связаны друг с другом и обусловлены правовым регулированием. Их научное отражение в виде взаимосвязанных понятий должно осуществляться по логике, которая определена объективными закономерностями государственно-правового регулирования. Говоря о роли категорий правового регулирования в правовой надстройке, С. С. Алексеев отмечал, что они выражают «специфические закономерности права – закономерности его функционирования… охватывают в совокупности все участки правовой действительности, все </w:t>
      </w:r>
      <w:r>
        <w:rPr>
          <w:rFonts w:ascii="Times New Roman" w:hAnsi="Times New Roman" w:cs="Times New Roman"/>
          <w:sz w:val="28"/>
          <w:szCs w:val="28"/>
        </w:rPr>
        <w:t>элементы правовой надстройки»6.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>Однако в настоящее время нуждаются в уточнении само понятие правового регулирования, его стадии и механизм, а также имеется необходимость уточнения отдельных понятий динамики права, определение взаимосвязей правовых явлений в пр</w:t>
      </w:r>
      <w:r>
        <w:rPr>
          <w:rFonts w:ascii="Times New Roman" w:hAnsi="Times New Roman" w:cs="Times New Roman"/>
          <w:sz w:val="28"/>
          <w:szCs w:val="28"/>
        </w:rPr>
        <w:t>оцессе правового регулирования.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>Исследование перечисленных аспектов и образует новую парадигму теории государс</w:t>
      </w:r>
      <w:r>
        <w:rPr>
          <w:rFonts w:ascii="Times New Roman" w:hAnsi="Times New Roman" w:cs="Times New Roman"/>
          <w:sz w:val="28"/>
          <w:szCs w:val="28"/>
        </w:rPr>
        <w:t>твенно-правового регулирования.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>Структура работы определена логикой исследования, результаты ко</w:t>
      </w:r>
      <w:r>
        <w:rPr>
          <w:rFonts w:ascii="Times New Roman" w:hAnsi="Times New Roman" w:cs="Times New Roman"/>
          <w:sz w:val="28"/>
          <w:szCs w:val="28"/>
        </w:rPr>
        <w:t>торого изложены в шести главах.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7092">
        <w:rPr>
          <w:rFonts w:ascii="Times New Roman" w:hAnsi="Times New Roman" w:cs="Times New Roman"/>
          <w:sz w:val="28"/>
          <w:szCs w:val="28"/>
        </w:rPr>
        <w:t xml:space="preserve">онятия правового регулирования и производных от него понятий, взаимосвязи которых определяют структуру главы. Само понятие правового регулирования рассматривается как разновидность социального регулирования. Изложение материала о способах и методах правового регулирования усиливается за счет анализа понятий правовых стимулов и ограничений в правовом регулировании. Теоретические вопросы толкования правовых норм раскрываются в качестве инструмента правового регулирования. Принципиально с иных позиций в монографии анализируется понятие механизма правового регулирования, «стержнем» которого представляется </w:t>
      </w:r>
      <w:proofErr w:type="spellStart"/>
      <w:r w:rsidRPr="00C77092">
        <w:rPr>
          <w:rFonts w:ascii="Times New Roman" w:hAnsi="Times New Roman" w:cs="Times New Roman"/>
          <w:sz w:val="28"/>
          <w:szCs w:val="28"/>
        </w:rPr>
        <w:t>субъективация</w:t>
      </w:r>
      <w:proofErr w:type="spellEnd"/>
      <w:r w:rsidRPr="00C77092">
        <w:rPr>
          <w:rFonts w:ascii="Times New Roman" w:hAnsi="Times New Roman" w:cs="Times New Roman"/>
          <w:sz w:val="28"/>
          <w:szCs w:val="28"/>
        </w:rPr>
        <w:t xml:space="preserve"> правовых предписаний объективного права в субъективные права и юридические обязанности субъектов конкретных общественных отношений, сопровождающаяся возникновением, изменением и п</w:t>
      </w:r>
      <w:r>
        <w:rPr>
          <w:rFonts w:ascii="Times New Roman" w:hAnsi="Times New Roman" w:cs="Times New Roman"/>
          <w:sz w:val="28"/>
          <w:szCs w:val="28"/>
        </w:rPr>
        <w:t>рекращением правовых отношений.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77092">
        <w:rPr>
          <w:rFonts w:ascii="Times New Roman" w:hAnsi="Times New Roman" w:cs="Times New Roman"/>
          <w:sz w:val="28"/>
          <w:szCs w:val="28"/>
        </w:rPr>
        <w:t>злагаются теоретические вопросы правотворчества, которое представляет собой первый этап правового регулирования. Именно на этом этапе формируется типовая модель поведения субъектов общественных отношений и формируется основа результативного правового воздействия на общественные отн</w:t>
      </w:r>
      <w:r>
        <w:rPr>
          <w:rFonts w:ascii="Times New Roman" w:hAnsi="Times New Roman" w:cs="Times New Roman"/>
          <w:sz w:val="28"/>
          <w:szCs w:val="28"/>
        </w:rPr>
        <w:t>ошения с целью их упорядочения.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77092">
        <w:rPr>
          <w:rFonts w:ascii="Times New Roman" w:hAnsi="Times New Roman" w:cs="Times New Roman"/>
          <w:sz w:val="28"/>
          <w:szCs w:val="28"/>
        </w:rPr>
        <w:t xml:space="preserve">тведена под изложение результатов исследования теоретических вопросов реализации права – второго, заключительного, этапа правового регулирования. Наряду с традиционными вопросами о понятии и формах реализации права, в данной главе раскрываются понятия правовых </w:t>
      </w:r>
      <w:r w:rsidRPr="00C77092">
        <w:rPr>
          <w:rFonts w:ascii="Times New Roman" w:hAnsi="Times New Roman" w:cs="Times New Roman"/>
          <w:sz w:val="28"/>
          <w:szCs w:val="28"/>
        </w:rPr>
        <w:lastRenderedPageBreak/>
        <w:t xml:space="preserve">презумпций, фикций и </w:t>
      </w:r>
      <w:proofErr w:type="spellStart"/>
      <w:r w:rsidRPr="00C77092">
        <w:rPr>
          <w:rFonts w:ascii="Times New Roman" w:hAnsi="Times New Roman" w:cs="Times New Roman"/>
          <w:sz w:val="28"/>
          <w:szCs w:val="28"/>
        </w:rPr>
        <w:t>преюдиций</w:t>
      </w:r>
      <w:proofErr w:type="spellEnd"/>
      <w:r w:rsidRPr="00C77092">
        <w:rPr>
          <w:rFonts w:ascii="Times New Roman" w:hAnsi="Times New Roman" w:cs="Times New Roman"/>
          <w:sz w:val="28"/>
          <w:szCs w:val="28"/>
        </w:rPr>
        <w:t xml:space="preserve">, показывается их роль в применении правовых норм. Кроме того, в отдельном параграфе излагаются негативные факторы применения права в виде </w:t>
      </w:r>
      <w:proofErr w:type="spellStart"/>
      <w:r w:rsidRPr="00C77092">
        <w:rPr>
          <w:rFonts w:ascii="Times New Roman" w:hAnsi="Times New Roman" w:cs="Times New Roman"/>
          <w:sz w:val="28"/>
          <w:szCs w:val="28"/>
        </w:rPr>
        <w:t>пробельности</w:t>
      </w:r>
      <w:proofErr w:type="spellEnd"/>
      <w:r w:rsidRPr="00C77092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коллизионности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правовых норм.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 xml:space="preserve">Чтобы не перегружать эту главу, понятия, отражающие правовые явления процесса реализации права, сгруппированы и результаты их исследования изложены в четвертой главе, в которой дается анализ понятий правомерного поведения, правонарушения и юридической ответственности. Правовые явления, отраженные в данных понятиях, имеют тесные объективные взаимосвязи. Они возникают в результате </w:t>
      </w:r>
      <w:proofErr w:type="spellStart"/>
      <w:r w:rsidRPr="00C77092">
        <w:rPr>
          <w:rFonts w:ascii="Times New Roman" w:hAnsi="Times New Roman" w:cs="Times New Roman"/>
          <w:sz w:val="28"/>
          <w:szCs w:val="28"/>
        </w:rPr>
        <w:t>субъективации</w:t>
      </w:r>
      <w:proofErr w:type="spellEnd"/>
      <w:r w:rsidRPr="00C77092">
        <w:rPr>
          <w:rFonts w:ascii="Times New Roman" w:hAnsi="Times New Roman" w:cs="Times New Roman"/>
          <w:sz w:val="28"/>
          <w:szCs w:val="28"/>
        </w:rPr>
        <w:t xml:space="preserve"> правовых предписаний объективного права. На этот процесс влияют социальные установки и деформации правосознания субъектов общественных отношений. В результате у субъектов формируется положительный или отрицательный мотив их дальнейшего поведения. Положительный мотив воплощается в правомерное поведение, а отрицательный – в правонарушение, состав которого является основанием юридической ответственности. При изложении видов юридической ответственности автор выразил свое отрицательное отношение к наличию в юридической литературе взглядов о существова</w:t>
      </w:r>
      <w:r>
        <w:rPr>
          <w:rFonts w:ascii="Times New Roman" w:hAnsi="Times New Roman" w:cs="Times New Roman"/>
          <w:sz w:val="28"/>
          <w:szCs w:val="28"/>
        </w:rPr>
        <w:t>нии позитивной ответственности.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 xml:space="preserve">Теоретический материал, изложенный в пятой и шестой главах, имеет отношение к обоим </w:t>
      </w:r>
      <w:r>
        <w:rPr>
          <w:rFonts w:ascii="Times New Roman" w:hAnsi="Times New Roman" w:cs="Times New Roman"/>
          <w:sz w:val="28"/>
          <w:szCs w:val="28"/>
        </w:rPr>
        <w:t>этапам правового регулирования.</w:t>
      </w:r>
    </w:p>
    <w:p w:rsidR="00C77092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 w:rsidRPr="00C77092">
        <w:rPr>
          <w:rFonts w:ascii="Times New Roman" w:hAnsi="Times New Roman" w:cs="Times New Roman"/>
          <w:sz w:val="28"/>
          <w:szCs w:val="28"/>
        </w:rPr>
        <w:t xml:space="preserve">Так, в пятой главе излагаются теоретические вопросы понятий законности и правопорядка. Законность и правопорядок представляются как состояние, цель и результат правового регулирования. При этом автором предпринята попытка представить эти понятия в виде свойств правового </w:t>
      </w:r>
      <w:r>
        <w:rPr>
          <w:rFonts w:ascii="Times New Roman" w:hAnsi="Times New Roman" w:cs="Times New Roman"/>
          <w:sz w:val="28"/>
          <w:szCs w:val="28"/>
        </w:rPr>
        <w:t>регулирования.</w:t>
      </w:r>
    </w:p>
    <w:p w:rsidR="00E003C4" w:rsidRPr="00C77092" w:rsidRDefault="00C77092" w:rsidP="00C77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7092">
        <w:rPr>
          <w:rFonts w:ascii="Times New Roman" w:hAnsi="Times New Roman" w:cs="Times New Roman"/>
          <w:sz w:val="28"/>
          <w:szCs w:val="28"/>
        </w:rPr>
        <w:t>освящена вопросам отражения процесса правового регулирования в правовых документах посредством юридической техники. Теоретическая несостоятельность широкого подхода к рассмотрению понятия юридической техники и ее разновидности – законодательной техники – аргументируется языковой природой данного понятия, показывается его взаимосвязь с другими отраслями юридического знания, дается общая характеристика инструментария юридической техники и классификация ее проявлений в правовом регулировании.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b/>
          <w:sz w:val="28"/>
          <w:szCs w:val="28"/>
          <w:lang w:eastAsia="ru-RU"/>
        </w:rPr>
        <w:t>Концепции минимальной роли государства в регулировании экономики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центральных вопросов современной экономической теории и деятельности рыночных субъектов является вопрос о месте и роли государства в экономике. Каждая из научных школ предлагает собственный, существенно отличающийся от других подход к решению данной проблемы. Обобщая их </w:t>
      </w:r>
      <w:r w:rsidRPr="00E003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всех, можно говорить о существовании двух принципиальных точек зрения на этот счёт: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обоснование</w:t>
      </w:r>
      <w:proofErr w:type="gram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 минимальной роли государства в регулировании экономики (одна из главных идей экономических либералов);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необходимость</w:t>
      </w:r>
      <w:proofErr w:type="gram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активного вмешательства государства в рыночные процессы. С течением времени они периодически сменяют друг друга в иерархии общественного мировоззрения.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История экономики как о научной дисциплине началась с создания трудов </w:t>
      </w:r>
      <w:proofErr w:type="spell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Сэя</w:t>
      </w:r>
      <w:proofErr w:type="spell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, Смита, </w:t>
      </w:r>
      <w:proofErr w:type="spell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Рикардо</w:t>
      </w:r>
      <w:proofErr w:type="spell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>. Они сформулировали основные принципы классической школы, на базе которой появилась теория экономического либерализма. Она отталкивается от того, что процессы рыночных взаимоотношений, которые основываются на свободной конкуренции, являются естественными, а потому вмешательство в них государства не допускается.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>Рынок рассматривался как саморегулируемая система, основным механизмом которой является, так называемая, «невидимая рука рынка», направляемая в нужную сторону деятельность экономических субъектов. В связи с этим государству отводится роль «ночного сторожа», который только устанавливает базовые правила общественных взаимоотношений, контролирует их соблюдение, решает вопросы внутренней и внешней безопасности страны.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>Вновь эти идеи стали актуальны во второй половине ХХ века, когда они оформились в концепцию монетаризма. В соответствии с ней роль государства сводилась только к регулированию денежного обращения в стране. А отношения в других сферах экономики должны складываться только в результате </w:t>
      </w:r>
      <w:hyperlink r:id="rId5" w:tgtFrame="_blank" w:history="1">
        <w:r w:rsidRPr="00E003C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действия</w:t>
        </w:r>
      </w:hyperlink>
      <w:r w:rsidRPr="00E003C4">
        <w:rPr>
          <w:rFonts w:ascii="Times New Roman" w:hAnsi="Times New Roman" w:cs="Times New Roman"/>
          <w:sz w:val="28"/>
          <w:szCs w:val="28"/>
          <w:lang w:eastAsia="ru-RU"/>
        </w:rPr>
        <w:t> механизма рыночного саморегулирования.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b/>
          <w:sz w:val="28"/>
          <w:szCs w:val="28"/>
          <w:lang w:eastAsia="ru-RU"/>
        </w:rPr>
        <w:t>Концепции активного вмешательства государства в рыночные процессы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>Противоположный взгляд на роль государства в осуществлении хозяйственных процессов пропагандировали </w:t>
      </w:r>
      <w:hyperlink r:id="rId6" w:tgtFrame="_blank" w:history="1">
        <w:r w:rsidRPr="00E003C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представители</w:t>
        </w:r>
      </w:hyperlink>
      <w:r w:rsidRPr="00E003C4">
        <w:rPr>
          <w:rFonts w:ascii="Times New Roman" w:hAnsi="Times New Roman" w:cs="Times New Roman"/>
          <w:sz w:val="28"/>
          <w:szCs w:val="28"/>
          <w:lang w:eastAsia="ru-RU"/>
        </w:rPr>
        <w:t> марксистской теории. В частности, Энгельс, Маркс, Ленин в своих трудах излагали и обосновывали идею абсолютизации регулирующей роли государства. Они исходили из идеи непримиримости классовой борьбы, согласно которой государство возникает в случае наличия неразрешимых классовых противоречий, а потому на первый план выходит насильственная власть государства.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Впоследствии (в течении ХХ века) появилось большое число теорий и течений, которые видели решение всё ещё возникающих производственных и социальных проблем в объединении различных аспектов рыночного и государственного регулирования экономики. Наиболее известной теорией </w:t>
      </w:r>
      <w:r w:rsidRPr="00E003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макроэкономического </w:t>
      </w:r>
      <w:hyperlink r:id="rId7" w:tgtFrame="_blank" w:history="1">
        <w:r w:rsidRPr="00E003C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регулирования рынков</w:t>
        </w:r>
      </w:hyperlink>
      <w:r w:rsidRPr="00E003C4">
        <w:rPr>
          <w:rFonts w:ascii="Times New Roman" w:hAnsi="Times New Roman" w:cs="Times New Roman"/>
          <w:sz w:val="28"/>
          <w:szCs w:val="28"/>
          <w:lang w:eastAsia="ru-RU"/>
        </w:rPr>
        <w:t>, в которой обосновывались мысли о несовершенстве рыночного саморегулирования и вызванной в связи с этим необходимости активной регулирующей деятельности государства, является кейнсианская концепция.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Она так названа в честь своего автора – английского экономиста Дж. М. </w:t>
      </w:r>
      <w:proofErr w:type="spell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Кейнса</w:t>
      </w:r>
      <w:proofErr w:type="spell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>. На его идеи значительное влияние оказал мировой экономический кризис 1929-1933 гг. (так называемая, «Великая депрессия»). Он продемонстрировал невозможность автоматического достижения экономической системой сбалансированного состояния – объем совокупного спроса, как правило, меньше объема совокупного предложения. Это вызвано тем, что часть валового продукта не используется (инвестируется), а сберегается.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По мнению Дж. К. </w:t>
      </w:r>
      <w:proofErr w:type="spell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Кейнса</w:t>
      </w:r>
      <w:proofErr w:type="spell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>, только государству под силу простимулировать совокупный спрос (через механизм государственных закупок) и привести, тем самым, экономику страны в равновесное положение. Кроме того, оно способно предпринимать меры, направленные на преодоление неравномерного распределения богатства, обеспечение полной занятости населения, определение национальной структуры хозяйства.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>Эти проблемы могут быть решены в случае реализации следующих действий: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отказ</w:t>
      </w:r>
      <w:proofErr w:type="gram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 от идеи сбалансированности бюджета и использование его дефицита как фактора, воздействующего на динамику производства;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новое</w:t>
      </w:r>
      <w:proofErr w:type="gram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понимание государственной денежно-кредитной (монетарной) политики, заключающейся в активном регулировании экономических процессов путем изменения процентных ставок, объемов эмиссии денег и формирования обязательных резервов и т.д.;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3C4">
        <w:rPr>
          <w:rFonts w:ascii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 концепции «встроенных стабилизаторов» рыночной экономики (например, прогрессивная система налогообложения, система </w:t>
      </w:r>
      <w:hyperlink r:id="rId8" w:tgtFrame="_blank" w:history="1">
        <w:r w:rsidRPr="00E003C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социального обеспечения</w:t>
        </w:r>
      </w:hyperlink>
      <w:r w:rsidRPr="00E003C4">
        <w:rPr>
          <w:rFonts w:ascii="Times New Roman" w:hAnsi="Times New Roman" w:cs="Times New Roman"/>
          <w:sz w:val="28"/>
          <w:szCs w:val="28"/>
          <w:lang w:eastAsia="ru-RU"/>
        </w:rPr>
        <w:t>, общественные работы и т.д.).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>Совокупный эффект от этих действий заключается в следующем. В периоды наступления кризисной ситуации возникает бюджетный </w:t>
      </w:r>
      <w:hyperlink r:id="rId9" w:tgtFrame="_blank" w:history="1">
        <w:r w:rsidRPr="00E003C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дефицит</w:t>
        </w:r>
      </w:hyperlink>
      <w:r w:rsidRPr="00E003C4">
        <w:rPr>
          <w:rFonts w:ascii="Times New Roman" w:hAnsi="Times New Roman" w:cs="Times New Roman"/>
          <w:sz w:val="28"/>
          <w:szCs w:val="28"/>
          <w:lang w:eastAsia="ru-RU"/>
        </w:rPr>
        <w:t>, вызванный действием «внутренних стабилизаторов» (увеличение социальных выплат, уменьшение налоговых поступлений). В то же время их действие стимулирует совокупный спрос, вслед за чем начнётся период подъема экономики, во время которого бюджет перейдет в состояние профицита, что перекроет ранее образовавшийся дефицит.</w:t>
      </w:r>
    </w:p>
    <w:p w:rsidR="00E003C4" w:rsidRPr="00E003C4" w:rsidRDefault="00E003C4" w:rsidP="00E003C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3C4">
        <w:rPr>
          <w:rFonts w:ascii="Times New Roman" w:hAnsi="Times New Roman" w:cs="Times New Roman"/>
          <w:sz w:val="28"/>
          <w:szCs w:val="28"/>
          <w:lang w:eastAsia="ru-RU"/>
        </w:rPr>
        <w:t xml:space="preserve">С течением времени идеи кейнсианства перестали действовать так же эффективно, как и в середине ХХ века. Это вызвало появление </w:t>
      </w:r>
      <w:r w:rsidRPr="00E003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монетаристской концепции, которая также не всегда разрешала возникающие в экономике проблемные ситуации.</w:t>
      </w:r>
    </w:p>
    <w:p w:rsidR="00960783" w:rsidRPr="00E003C4" w:rsidRDefault="00960783" w:rsidP="00E003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0783" w:rsidRPr="00E0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10AB9"/>
    <w:multiLevelType w:val="hybridMultilevel"/>
    <w:tmpl w:val="756AE62E"/>
    <w:lvl w:ilvl="0" w:tplc="373A3C16">
      <w:start w:val="1"/>
      <w:numFmt w:val="decimal"/>
      <w:lvlText w:val="%1."/>
      <w:lvlJc w:val="left"/>
      <w:pPr>
        <w:ind w:left="184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4FF8363B"/>
    <w:multiLevelType w:val="multilevel"/>
    <w:tmpl w:val="63A2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014727"/>
    <w:multiLevelType w:val="multilevel"/>
    <w:tmpl w:val="B85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39"/>
    <w:rsid w:val="00960783"/>
    <w:rsid w:val="00C02539"/>
    <w:rsid w:val="00C77092"/>
    <w:rsid w:val="00E0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928DD-A61A-4235-B7DE-A154DC1B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ck.ru/definitions/socialnoe-obespechenieyho7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ravochnick.ru/definitions/regulirovanie-ry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ravochnick.ru/definitions/predstavite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pravochnick.ru/definitions/deystviy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ravochnick.ru/definitions/deficitle1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2026-02-11T09:25:00Z</dcterms:created>
  <dcterms:modified xsi:type="dcterms:W3CDTF">2026-02-11T09:25:00Z</dcterms:modified>
</cp:coreProperties>
</file>