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8228F" w14:textId="77777777" w:rsidR="006F7B94" w:rsidRPr="00DD3489" w:rsidRDefault="006F7B94" w:rsidP="006F7B94">
      <w:pPr>
        <w:jc w:val="both"/>
        <w:rPr>
          <w:rFonts w:ascii="Times New Roman" w:hAnsi="Times New Roman" w:cs="Times New Roman"/>
          <w:sz w:val="28"/>
          <w:szCs w:val="28"/>
        </w:rPr>
      </w:pPr>
      <w:r w:rsidRPr="00DD3489">
        <w:rPr>
          <w:rFonts w:ascii="Times New Roman" w:hAnsi="Times New Roman" w:cs="Times New Roman"/>
          <w:sz w:val="28"/>
          <w:szCs w:val="28"/>
        </w:rPr>
        <w:t>Лекция 2. Введение в финансовую грамотность. Денежная система и денежный рынок</w:t>
      </w:r>
    </w:p>
    <w:p w14:paraId="69D27FC5" w14:textId="77777777" w:rsidR="006F7B94" w:rsidRDefault="006F7B94" w:rsidP="006F7B94">
      <w:pPr>
        <w:jc w:val="both"/>
        <w:rPr>
          <w:rFonts w:ascii="Times New Roman" w:hAnsi="Times New Roman" w:cs="Times New Roman"/>
          <w:sz w:val="28"/>
          <w:szCs w:val="28"/>
        </w:rPr>
      </w:pPr>
      <w:r w:rsidRPr="00DD3489">
        <w:rPr>
          <w:rFonts w:ascii="Times New Roman" w:hAnsi="Times New Roman" w:cs="Times New Roman"/>
          <w:sz w:val="28"/>
          <w:szCs w:val="28"/>
        </w:rPr>
        <w:t xml:space="preserve">ие Данная глава является вводной и призвана дать общую информацию по темам, которые будут более детально рассматриваться в последующих главах. В первом параграфе будут раскрыты виды и основные функции денег, история их возникновения, новые виды электронных денег, описаны основные меры, предпринимаемые центральными банками для защиты выпускаемых денег от подделок, раскрыты понятия денежной инфляции и дефляции. Второй параграф состоит из двух крупных блоков – первый посвящен введению понятия личного финансового плана, принципов и важности его составления, проиллюстрировано изменение соотношения и структуры доходов и расходов за период жизни человека. Во втором блоке даются базовые знания о путях распоряжения совокупным капиталом человека и семьи – описываются основные понятия сбережения и инвестирования, кратко перечисляются основные финансовые инструменты, включая рассмотрения их плюсов и минусов, объясняется необходимость диверсификации инвестиций. § 1.1.1 Функции и виды денег. Деньги: история и современность 1.1.1.1 История денег. Современные деньги России и других стран История денег начинается с тех давних времен, когда людям приходилось менять одну вещь на другую, чтобы получить то, что им было нужно. Первые деньги на земле отличались в зависимости от стран. Например, в Африке в качестве средства для расчётов использовалась соль, в Китае – чай, 6 Видеолекции (№№ 1-19) находятся в СДО Института МФЦ в блоке материалов соответствующей главы и па Учебного пособия. 19 Учебное пособие для студентов вузов педагогических направлений подготовки в России – шкурки пушных зверей и даже раковины каури. Основной недостаток таких денег – недолговечность! Постепенно роль денег стала переходить к слиткам драгоценных металлов, драгоценным камням. Слитки из металла были неудобны, поскольку их приходилось рубить на части. В этой связи примерно в VII веке до н.э. начали появляться пластины металла одинакового веса, на которые для предотвращения подделок стали ставить клеймо – монеты. Первые бумажные деньги появились в Китае в 910 году нашей эры. Самые ранние в мире выпуски банкнот были осуществлены в Стокгольме в 1661 году. В России первые бумажные деньги (ассигнации), которые можно было свободно обменять на медные деньги, были введены при Екатерине II в 1769 году. С развитием банковской системы появились безналичные деньги. Самая первая система виртуальных расчетов установилась в Великобритании, где с 1775 года возникают расчетные палаты – специальные межбанковские организации, которые осуществляли безналичный расчет по чекам и другим платежным документам зачетом взаимных требований. Электронные деньги в виде электронных кошельков и т.п. начали появляться в 1990-х годах. В настоящее время бумажные деньги </w:t>
      </w:r>
      <w:r w:rsidRPr="00DD3489">
        <w:rPr>
          <w:rFonts w:ascii="Times New Roman" w:hAnsi="Times New Roman" w:cs="Times New Roman"/>
          <w:sz w:val="28"/>
          <w:szCs w:val="28"/>
        </w:rPr>
        <w:lastRenderedPageBreak/>
        <w:t xml:space="preserve">многих стран находятся в постоянном обновлении – вводятся купюры новых номиналов, меняется дизайн. Причинами этого является необходимость повышения защищенности от подделок, адаптация банкнот для использования слабовидящими людьми, а также борьба с коррупцией. Например, последнее время на межгосударственном уровне обсуждается возможность постепенного выведения из обращения купюр достоинством 500 евро и 100 долларов США, для затруднения передачи крупных взяток. Основы финансовой грамотности и методы её преподавания 20 В постсоветское время последним наиболее значимым событием в части денег в России является реформа 1998 года, когда произошло укрупнение рубля в 1000 раз (деноминация). В 2001 году все купюры были модифицированы, появились дополнительные уровни защиты от подделки. Тогда же появилась тысячная купюра. В 2004 году была проведена следующая модификация, которая уже частично коснулась дизайна. Ещё через два года вводится купюра номиналом 5000 рублей. В 2014 и 2015 годах Центральным банком Российской Федерации были выпущены сторублёвые памятные купюры в связи с проведением в России Олимпиады и присоединением Крыма. В 2017 году Центральный Банк Российской Федерации (далее допускается «Банк России») ввел в обращение купюры номиналом 200 и 2000 рублей. На купюре в 200 рублей основное изображение лицевой стороны – памятник затопленным кораблям в г. Севастополе. На оборотной стороне этой купюры – Государственный историко-архитектурный музей-заповедник «Херсонес Таврический». Лицевая сторона купюры в 2000 рублей содержит изображение Русского моста – вантового моста, соединяющего остров Русский с материковой частью г. Владивостока. На обороте купюры – космодром «Восточный». 7 В 2018 г. Банк России выпустил полимерную купюру ограниченной серии в связи с проведением в России Чемпионата мира по футболу. 7 С более подробной официальной информацией о всех купюрах и монетах, выпущенных Банком России в обращение, можно ознакомиться на сайте Банка России в информационнотелекоммуникационной сети «Интернет» – https://www.cbr.ru/cash_circulation/banknotes/5rub/ 21 Учебное пособие для студентов вузов педагогических направлений подготовки 1.1.1.2 Виды денег Выделяют следующие виды денег: 1. Товарные деньги: деньги, имеющие самостоятельную стоимость, как товар. В настоящее время всё меньше находятся в обращении. На текущий момент наиболее распространенными являются золотые монеты, в то же время они носят характер инвестиционных вложений, а не как средство платежа. 2. Наличные деньги: деньги в нашем обычном понимании – банкноты, монеты из недрагоценных металлов. 3. Безналичные деньги: средства на счетах в банке. Их наличие подтверждается не физическим наличием банкнот, а выписками со счетов. Расчёты также производятся не в результате физической передачи денег, а в результате изменения записей по счетам. 4. Электронные деньги: наиболее поздно </w:t>
      </w:r>
      <w:r w:rsidRPr="00DD3489">
        <w:rPr>
          <w:rFonts w:ascii="Times New Roman" w:hAnsi="Times New Roman" w:cs="Times New Roman"/>
          <w:sz w:val="28"/>
          <w:szCs w:val="28"/>
        </w:rPr>
        <w:lastRenderedPageBreak/>
        <w:t xml:space="preserve">появившийся вид денег, до сих пор находящийся в стадии формирования. Российским законом они определены как денежные средства, которые предварительно предоставлены одним лицом другому лицу, учитывающему информацию о размере предоставленных денежных средств без открытия банковского счёта. В России наиболее широкое распространение получили WebMoney и Яндекс. Деньги, карты для оплаты проезда на городском транспорте (например, в СанктПетербурге карта «Подорожник»). В мире популярна – PayPal. Квантовые деньги – разрабатываются банкноты нового поколения, у которых в качестве основной системы защиты от подделки применяется квантовая криптография, основанная на поляризации света. Невозможность копирования такой системы обеспечивается физическими свойствами квантовых частиц (теорема о запрете клонирования). Пока что это только лабораторные модели, изготовление таких банкнот не осуществляется. Регина Севостьянова. Квантовая физика защитит деньги от подделки//Вести ФМ – http://radiovesti.ru/brand/61178/episode/1402756/ Основы финансовой грамотности и методы её преподавания 22 1.1.1.3 Основные функции денег Выделяют несколько функций денег. 1. Мера стоимости: с помощью денег можно измерять и сопоставлять стоимость различных товаров, услуг. 2. Средство обращения: исторически первоначально товарный обмен осуществлялся в форме обмена товара на товар («товар – товар»). Появление денег изменило форму обмена: товар продается за деньги, затем на вырученные деньги приобретается другой необходимый товар («товар – деньги – товар»). Таким образом, деньги являются универсальным посредником при товарообмене. 3. Средство накопления: в отличие от товаров, деньги не имеют срока годности, в связи с чем их можно откладывать для расходов в будущих периодах. 4. Средство платежа: функция денег, заключающаяся в том, что деньги используются при продаже товаров в кредит, при уплате налогов. 5. Мировые деньги: развитие товарооборота и финансовых отношений между разными странами, имеющими разные валюты, привели к появлению так называемых «мировых денег», к которым можно отнести «резервные валюты», в которых большинство стран предпочитает хранить часть своих резервов (доллар США, евро, английский фунт, японская йена, швейцарский франк, китайский юань). 1.1.1.4 Подделки и защита от них Существование поддельных денег сопровождает денежное обращение на протяжении всего существования монет и банкнот. Разновидностей подделок существует огромное количество, и они совершенно разного Фальсификация монет с целью наживы появилась одновременно с первыми металлическими деньгами. Самые старые обнаруженные фальшивые деньги – это копия серебряной монеты VI в. до н. э. с греческого острова Эгина. Подделка выполнена из меди с серебряным покрытием при очень высоком техническом исполнении. Джеймс П., Торп Н. Древние изобретения. – Мн.: Попурри, 1998, стр.461 23 Учебное пособие для студентов вузов </w:t>
      </w:r>
      <w:r w:rsidRPr="00DD3489">
        <w:rPr>
          <w:rFonts w:ascii="Times New Roman" w:hAnsi="Times New Roman" w:cs="Times New Roman"/>
          <w:sz w:val="28"/>
          <w:szCs w:val="28"/>
        </w:rPr>
        <w:lastRenderedPageBreak/>
        <w:t xml:space="preserve">педагогических направлений подготовки качества – от простой цветной ксерокопии до высококачественных образцов, которые требуют исследований в лабораторных условиях. Для защиты от подделок центральными банками стран используются многочисленные приёмы, в том числе: </w:t>
      </w:r>
      <w:r w:rsidRPr="00DD3489">
        <w:rPr>
          <w:rFonts w:ascii="Times New Roman" w:hAnsi="Times New Roman" w:cs="Times New Roman"/>
          <w:sz w:val="28"/>
          <w:szCs w:val="28"/>
        </w:rPr>
        <w:sym w:font="Symbol" w:char="F02D"/>
      </w:r>
      <w:r w:rsidRPr="00DD3489">
        <w:rPr>
          <w:rFonts w:ascii="Times New Roman" w:hAnsi="Times New Roman" w:cs="Times New Roman"/>
          <w:sz w:val="28"/>
          <w:szCs w:val="28"/>
        </w:rPr>
        <w:t xml:space="preserve"> использование специальной бумаги с водяными знаками и ворсинками, иногда со вставками из другого материала; </w:t>
      </w:r>
      <w:r w:rsidRPr="00DD3489">
        <w:rPr>
          <w:rFonts w:ascii="Times New Roman" w:hAnsi="Times New Roman" w:cs="Times New Roman"/>
          <w:sz w:val="28"/>
          <w:szCs w:val="28"/>
        </w:rPr>
        <w:sym w:font="Symbol" w:char="F02D"/>
      </w:r>
      <w:r w:rsidRPr="00DD3489">
        <w:rPr>
          <w:rFonts w:ascii="Times New Roman" w:hAnsi="Times New Roman" w:cs="Times New Roman"/>
          <w:sz w:val="28"/>
          <w:szCs w:val="28"/>
        </w:rPr>
        <w:t xml:space="preserve"> защитные нити; </w:t>
      </w:r>
      <w:r w:rsidRPr="00DD3489">
        <w:rPr>
          <w:rFonts w:ascii="Times New Roman" w:hAnsi="Times New Roman" w:cs="Times New Roman"/>
          <w:sz w:val="28"/>
          <w:szCs w:val="28"/>
        </w:rPr>
        <w:sym w:font="Symbol" w:char="F02D"/>
      </w:r>
      <w:r w:rsidRPr="00DD3489">
        <w:rPr>
          <w:rFonts w:ascii="Times New Roman" w:hAnsi="Times New Roman" w:cs="Times New Roman"/>
          <w:sz w:val="28"/>
          <w:szCs w:val="28"/>
        </w:rPr>
        <w:t xml:space="preserve"> микропечать; </w:t>
      </w:r>
      <w:r w:rsidRPr="00DD3489">
        <w:rPr>
          <w:rFonts w:ascii="Times New Roman" w:hAnsi="Times New Roman" w:cs="Times New Roman"/>
          <w:sz w:val="28"/>
          <w:szCs w:val="28"/>
        </w:rPr>
        <w:sym w:font="Symbol" w:char="F02D"/>
      </w:r>
      <w:r w:rsidRPr="00DD3489">
        <w:rPr>
          <w:rFonts w:ascii="Times New Roman" w:hAnsi="Times New Roman" w:cs="Times New Roman"/>
          <w:sz w:val="28"/>
          <w:szCs w:val="28"/>
        </w:rPr>
        <w:t xml:space="preserve"> кипп-эффект (какое-либо изображение становится видимым, только если посмотреть на купюру под определённым углом); </w:t>
      </w:r>
      <w:r w:rsidRPr="00DD3489">
        <w:rPr>
          <w:rFonts w:ascii="Times New Roman" w:hAnsi="Times New Roman" w:cs="Times New Roman"/>
          <w:sz w:val="28"/>
          <w:szCs w:val="28"/>
        </w:rPr>
        <w:sym w:font="Symbol" w:char="F02D"/>
      </w:r>
      <w:r w:rsidRPr="00DD3489">
        <w:rPr>
          <w:rFonts w:ascii="Times New Roman" w:hAnsi="Times New Roman" w:cs="Times New Roman"/>
          <w:sz w:val="28"/>
          <w:szCs w:val="28"/>
        </w:rPr>
        <w:t xml:space="preserve"> цветопеременная краска; </w:t>
      </w:r>
      <w:r w:rsidRPr="00DD3489">
        <w:rPr>
          <w:rFonts w:ascii="Times New Roman" w:hAnsi="Times New Roman" w:cs="Times New Roman"/>
          <w:sz w:val="28"/>
          <w:szCs w:val="28"/>
        </w:rPr>
        <w:sym w:font="Symbol" w:char="F02D"/>
      </w:r>
      <w:r w:rsidRPr="00DD3489">
        <w:rPr>
          <w:rFonts w:ascii="Times New Roman" w:hAnsi="Times New Roman" w:cs="Times New Roman"/>
          <w:sz w:val="28"/>
          <w:szCs w:val="28"/>
        </w:rPr>
        <w:t xml:space="preserve"> ультрафиолетовые изображения. Необходимо учитывать, что поддельные купюры можно получить и в банкоматах. Так, Банк России предупреждает, что в банкоматах в 2017 году стало больше фальшивых купюр. Это связано с тем, что большинство банкоматов, особенно небольших банков, проверяют только 1-2 защитных Центробанк за первые шесть месяцев 2018 года выявил фальшивых купюр на общую сумму 67,8 млн рублей, что на 13,2 млн рублей меньше, чем годом ранее. Об этом говорится в материалах регулятора, с которыми ознакомились «Известия». Традиционно чаще всего мошенники подделывают банкноты номиналом 5 тыс. рублей, следом идут купюры по 1 тыс. рублей. На сокращении количества фальшивок сказывается не только сложность производства, но и распространение безналичных платежей. Интернет-портал iz.ru в информационно-телекоммуникационной сети «Интернет» – https://iz.ru/769177/inna-grigoreva/tcb-vyiavil-678-mln-poddelnykh-rublei Количество поддельных купюр в России за 2019 год выросло на 7,4%. Банк России за 2019 г. выявил 41 тыс. 355 поддельных купюр в банковской системе РФ, что на 2 тыс. 851 банкноту или 7,4% больше, чем показатель 2018 года. Об этом сообщается в материалах регулятора. Информационное агентство ТАСС в информационно-телекоммуникационной сети «Интернет» – https://tass.ru/ekonomika/7839091 Основы финансовой грамотности и методы её преподавания 24 признака, хотя по требованиям Банка России должно проверяться минимум четыре.8 1.1.1.5 Эмиссия денег Под эмиссией денег подразумевается выпуск новых денежных средств в обращение. Эмиссия наличных денег в Российской Федерации осуществляется исключительно Банком России. Законодательно установлены следующие особенности эмиссии в России: </w:t>
      </w:r>
      <w:r w:rsidRPr="00DD3489">
        <w:rPr>
          <w:rFonts w:ascii="Times New Roman" w:hAnsi="Times New Roman" w:cs="Times New Roman"/>
          <w:sz w:val="28"/>
          <w:szCs w:val="28"/>
        </w:rPr>
        <w:sym w:font="Symbol" w:char="F02D"/>
      </w:r>
      <w:r w:rsidRPr="00DD3489">
        <w:rPr>
          <w:rFonts w:ascii="Times New Roman" w:hAnsi="Times New Roman" w:cs="Times New Roman"/>
          <w:sz w:val="28"/>
          <w:szCs w:val="28"/>
        </w:rPr>
        <w:t xml:space="preserve"> рубль является единственным законным платежным средством на территории России; </w:t>
      </w:r>
      <w:r w:rsidRPr="00DD3489">
        <w:rPr>
          <w:rFonts w:ascii="Times New Roman" w:hAnsi="Times New Roman" w:cs="Times New Roman"/>
          <w:sz w:val="28"/>
          <w:szCs w:val="28"/>
        </w:rPr>
        <w:sym w:font="Symbol" w:char="F02D"/>
      </w:r>
      <w:r w:rsidRPr="00DD3489">
        <w:rPr>
          <w:rFonts w:ascii="Times New Roman" w:hAnsi="Times New Roman" w:cs="Times New Roman"/>
          <w:sz w:val="28"/>
          <w:szCs w:val="28"/>
        </w:rPr>
        <w:t xml:space="preserve"> официальное соотношение между рублём и золотом или другими драгоценными металлами не устанавливается; </w:t>
      </w:r>
      <w:r w:rsidRPr="00DD3489">
        <w:rPr>
          <w:rFonts w:ascii="Times New Roman" w:hAnsi="Times New Roman" w:cs="Times New Roman"/>
          <w:sz w:val="28"/>
          <w:szCs w:val="28"/>
        </w:rPr>
        <w:sym w:font="Symbol" w:char="F02D"/>
      </w:r>
      <w:r w:rsidRPr="00DD3489">
        <w:rPr>
          <w:rFonts w:ascii="Times New Roman" w:hAnsi="Times New Roman" w:cs="Times New Roman"/>
          <w:sz w:val="28"/>
          <w:szCs w:val="28"/>
        </w:rPr>
        <w:t xml:space="preserve"> банкноты и монеты Банка России являются безусловными обязательствами Банка России и обеспечиваются всеми его активами; </w:t>
      </w:r>
      <w:r w:rsidRPr="00DD3489">
        <w:rPr>
          <w:rFonts w:ascii="Times New Roman" w:hAnsi="Times New Roman" w:cs="Times New Roman"/>
          <w:sz w:val="28"/>
          <w:szCs w:val="28"/>
        </w:rPr>
        <w:sym w:font="Symbol" w:char="F02D"/>
      </w:r>
      <w:r w:rsidRPr="00DD3489">
        <w:rPr>
          <w:rFonts w:ascii="Times New Roman" w:hAnsi="Times New Roman" w:cs="Times New Roman"/>
          <w:sz w:val="28"/>
          <w:szCs w:val="28"/>
        </w:rPr>
        <w:t xml:space="preserve"> банкноты и монеты Банка России не могут быть объявлены недействительными (утратившими силу законного средства платежа), если не установлен достаточно продолжительный срок их обмена на банкноты и монету Банка России нового образца. Не допускаются какие-либо ограничения в отношении сумм или </w:t>
      </w:r>
      <w:r w:rsidRPr="00DD3489">
        <w:rPr>
          <w:rFonts w:ascii="Times New Roman" w:hAnsi="Times New Roman" w:cs="Times New Roman"/>
          <w:sz w:val="28"/>
          <w:szCs w:val="28"/>
        </w:rPr>
        <w:lastRenderedPageBreak/>
        <w:t xml:space="preserve">субъектов обмена. 1.1.1.6 Инфляция. Покупательная способность денег. Дефляция Инфляция – процесс роста цен на товары и услуги в результате снижения покупательной способности денег. Цены на товары зависят от множества факторов, под воздействием которых один и тот же товар год назад и сейчас может стоить по-разному. Если стоимость товара выросла и за него надо заплатить больше денежных средств. В этом случае говорят, что инфляция 8 Сайт «ПРАВДА.Ру» в информационно-телекоммуникационной сети «Интернет» – http://www.pravda.ru/news/economics/20-06-2017/1338801-fake_money-0 25 Учебное пособие для студентов вузов педагогических направлений подготовки съела деньги или, используя, научный термин покупательная способность денег снизилась. Покупательная способность – экономический показатель, обратно пропорциональный количеству денег, необходимых для покрытия определённой потребительской корзины из товаров и услуг. Инфляцию, так как это длительный, устойчивый процесс, следует отличать от скачка цен. Инфляция не означает рост всех цен в экономике, потому что цены на отдельные товары и услуги могут повышаться, понижаться или оставаться без изменения. Важно измерять общий – усредненный – уровень цен. Усреднённое изменение цен на все продукты и услуги в экономике, выраженное в процентах, называется темпом инфляции. Усреднённое изменение цен измеряют с использованием индекса потребительских цен (далее – «ИПЦ»), который фиксирует в процентах изменение во времени стоимости определенных товаров и услуг, которые включены в потребительскую корзину (например, стоимость ЖКХ, стоимость продуктов и так далее). Количество определенных товаров и услуг, входящих в потребительскую корзину, измеряется сотнями. Росстат измеряет и публикует стоимость потребительской корзины на регулярной основе. Банк России на основе статистики Росстата публикует данные по инфляции. 9 Если за год потребительская корзина подорожала на 5%, то это означает об инфляции и снижении покупательской способности денег в размере 5% годовых. 9 Сайт Банка России в информационно-телекоммуникационной сети «Интернет» – http://cbr.ru/dkp/about_inflation/ Потребительская корзина нуждается в пересмотре, заявил президент России Владимир Путин. По его словам, в ней не хватает овощей, рыбы и мяса. Сайт газеты «Коммерсанть» в информационно-телекоммуникационной сети «Интернет» https://www.kommersant.ru/doc/4226937?utm_source=hot&amp;utm_medium=email&amp;utm_campaign= newsletter Основы финансовой грамотности и методы её преподавания 26 На Рис.1.1.1 представлена помесячная диаграмма уровней инфляции в России и США за последние десять лет: Рис. 1.1.1. Сравнение уровней инфляции в России и США за последние десять лет. О контроле инфляции и денежно-кредитной политике Банка России можно узнать на сайте Банка России.10 10 Сайт Банка России в информационно-телекоммуникационной сети «Интернет» - http://cbr.ru/dkp/ В январе 2020 г. </w:t>
      </w:r>
      <w:r w:rsidRPr="00DD3489">
        <w:rPr>
          <w:rFonts w:ascii="Times New Roman" w:hAnsi="Times New Roman" w:cs="Times New Roman"/>
          <w:sz w:val="28"/>
          <w:szCs w:val="28"/>
        </w:rPr>
        <w:lastRenderedPageBreak/>
        <w:t>годовая инфляция составила 2,4%, что на 0,6 п.п. ниже, чем в декабре 2019 года. В значительной мере снижение было связано со статистическим эффектом – выходом из расчета прироста цен в январе 2019 г., связанного с повышением ставки НДС. Замедлению годового темпа удорожания продовольствия, при сохранении низкого месячного прироста цен на него (с исключением сезонности), способствовало дальнейшее расширение предложения на отдельных продовольственных рынках. Укрепление рубля в 2019 г. ограничивало рост цен на товары с высокой импортной составляющей и на товары, конкурирующие с импортом. Сохранялось влияние на инфляцию сдержанного спроса. По оценке Банка России, на краткосрочном горизонте дезинфляционные риски по-прежнему преобладают над проинфляционными. В этих условиях с учетом проводимой денежно-кредитной политики годовая инфляция составит 3,5–4,0% по итогам 2020 г. и останется вблизи 4% в дальнейшем. Сайт Банка России в информационно-телекоммуникационной сети «Интернет» https://www.cbr.ru/Collection/Collection/File/27308/CPD_2020-01.pdf 27 Учебное пособие для студентов вузов педагогических направлений подготовки Если же товар стал стоить дешевле, значит покупательная способность денег увеличилась. Такой процесс называется дефляцией. Инфляция опасна тем, что обесценивает сбережения и зарплату. Дефляция, имея внешние признаки позитивного эффекта для потребителя – когда на то же самое количество денег можно купить больше, также несёт в себе существенные риски. При дефляции производство товаров внутри страны становится дороже относительно производства в других странах, в связи с чем, их становится труднее продать, снижается конкурентоспособность, что в дальнейшем может приводить к сокращению производства, снижению темпов роста экономики. В условиях санкционного давления один из действенных способов борьбы с дефляцией является метод создания конкуренции внутри экономических секторов российского рынка с постепенным повышением качества товаров, логистики их доставки, что в конечном итоге может привести к завоеванию зарубежных рынков уже на других качественных условиях.</w:t>
      </w:r>
    </w:p>
    <w:p w14:paraId="2670CB36" w14:textId="77777777" w:rsidR="00EB3F79" w:rsidRDefault="00EB3F79"/>
    <w:sectPr w:rsidR="00EB3F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3A6"/>
    <w:rsid w:val="002F73A6"/>
    <w:rsid w:val="006F7B94"/>
    <w:rsid w:val="00EB3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8CE60F-EF32-4790-954D-5762A042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2451</Words>
  <Characters>13972</Characters>
  <Application>Microsoft Office Word</Application>
  <DocSecurity>0</DocSecurity>
  <Lines>116</Lines>
  <Paragraphs>32</Paragraphs>
  <ScaleCrop>false</ScaleCrop>
  <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2026-03-13T08:03:00Z</dcterms:created>
  <dcterms:modified xsi:type="dcterms:W3CDTF">2026-03-13T08:03:00Z</dcterms:modified>
</cp:coreProperties>
</file>